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4A0" w:firstRow="1" w:lastRow="0" w:firstColumn="1" w:lastColumn="0" w:noHBand="0" w:noVBand="1"/>
      </w:tblPr>
      <w:tblGrid>
        <w:gridCol w:w="1918"/>
        <w:gridCol w:w="5136"/>
        <w:gridCol w:w="2658"/>
      </w:tblGrid>
      <w:tr w:rsidR="00CA0C55" w:rsidRPr="00381895" w:rsidTr="0080282F">
        <w:tc>
          <w:tcPr>
            <w:tcW w:w="1918" w:type="dxa"/>
          </w:tcPr>
          <w:p w:rsidR="00CA0C55" w:rsidRPr="00381895" w:rsidRDefault="00CA0C55" w:rsidP="00842FEF">
            <w:pPr>
              <w:rPr>
                <w:rFonts w:ascii="Arial" w:hAnsi="Arial" w:cs="Arial"/>
              </w:rPr>
            </w:pPr>
            <w:bookmarkStart w:id="0" w:name="_Hlk67479176"/>
            <w:bookmarkStart w:id="1" w:name="_GoBack"/>
            <w:bookmarkEnd w:id="1"/>
          </w:p>
          <w:p w:rsidR="00CA0C55" w:rsidRPr="00381895" w:rsidRDefault="00CA0C55" w:rsidP="00842FEF">
            <w:pPr>
              <w:rPr>
                <w:rFonts w:ascii="Arial" w:hAnsi="Arial" w:cs="Arial"/>
              </w:rPr>
            </w:pPr>
          </w:p>
        </w:tc>
        <w:tc>
          <w:tcPr>
            <w:tcW w:w="5136" w:type="dxa"/>
          </w:tcPr>
          <w:p w:rsidR="00AE18B4" w:rsidRDefault="00AE18B4" w:rsidP="00AE18B4">
            <w:pPr>
              <w:rPr>
                <w:rFonts w:ascii="Arial" w:hAnsi="Arial" w:cs="Arial"/>
                <w:b/>
                <w:sz w:val="32"/>
                <w:szCs w:val="32"/>
              </w:rPr>
            </w:pPr>
          </w:p>
          <w:p w:rsidR="00AE18B4" w:rsidRDefault="00AE18B4" w:rsidP="00842FEF">
            <w:pPr>
              <w:jc w:val="center"/>
              <w:rPr>
                <w:rFonts w:ascii="Arial" w:hAnsi="Arial" w:cs="Arial"/>
                <w:b/>
                <w:sz w:val="32"/>
                <w:szCs w:val="32"/>
              </w:rPr>
            </w:pPr>
          </w:p>
          <w:p w:rsidR="00AE18B4" w:rsidRDefault="004E1806" w:rsidP="00842FEF">
            <w:pPr>
              <w:jc w:val="center"/>
              <w:rPr>
                <w:rFonts w:ascii="Arial" w:hAnsi="Arial" w:cs="Arial"/>
                <w:b/>
                <w:sz w:val="32"/>
                <w:szCs w:val="32"/>
              </w:rPr>
            </w:pPr>
            <w:r w:rsidRPr="00381895">
              <w:rPr>
                <w:rFonts w:ascii="Arial" w:hAnsi="Arial" w:cs="Arial"/>
                <w:noProof/>
                <w:color w:val="333333"/>
              </w:rPr>
              <w:drawing>
                <wp:inline distT="0" distB="0" distL="0" distR="0">
                  <wp:extent cx="1028700" cy="12573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257300"/>
                          </a:xfrm>
                          <a:prstGeom prst="rect">
                            <a:avLst/>
                          </a:prstGeom>
                          <a:noFill/>
                          <a:ln>
                            <a:noFill/>
                          </a:ln>
                        </pic:spPr>
                      </pic:pic>
                    </a:graphicData>
                  </a:graphic>
                </wp:inline>
              </w:drawing>
            </w:r>
          </w:p>
          <w:p w:rsidR="00AE18B4" w:rsidRDefault="00AE18B4" w:rsidP="00842FEF">
            <w:pPr>
              <w:jc w:val="center"/>
              <w:rPr>
                <w:rFonts w:ascii="Arial" w:hAnsi="Arial" w:cs="Arial"/>
                <w:b/>
                <w:sz w:val="32"/>
                <w:szCs w:val="32"/>
              </w:rPr>
            </w:pPr>
          </w:p>
          <w:p w:rsidR="00CA0C55" w:rsidRPr="00381895" w:rsidRDefault="00CA0C55" w:rsidP="00842FEF">
            <w:pPr>
              <w:jc w:val="center"/>
              <w:rPr>
                <w:rFonts w:ascii="Arial" w:hAnsi="Arial" w:cs="Arial"/>
                <w:b/>
                <w:sz w:val="32"/>
                <w:szCs w:val="32"/>
              </w:rPr>
            </w:pPr>
            <w:r w:rsidRPr="00381895">
              <w:rPr>
                <w:rFonts w:ascii="Arial" w:hAnsi="Arial" w:cs="Arial"/>
                <w:b/>
                <w:sz w:val="32"/>
                <w:szCs w:val="32"/>
              </w:rPr>
              <w:t>COMUNE DI TELVE DI SOPRA</w:t>
            </w:r>
          </w:p>
          <w:p w:rsidR="00CA0C55" w:rsidRPr="00381895" w:rsidRDefault="00CA0C55" w:rsidP="00842FEF">
            <w:pPr>
              <w:jc w:val="center"/>
              <w:rPr>
                <w:rFonts w:ascii="Arial" w:hAnsi="Arial" w:cs="Arial"/>
                <w:sz w:val="20"/>
                <w:szCs w:val="20"/>
              </w:rPr>
            </w:pPr>
            <w:r w:rsidRPr="00381895">
              <w:rPr>
                <w:rFonts w:ascii="Arial" w:hAnsi="Arial" w:cs="Arial"/>
                <w:sz w:val="20"/>
                <w:szCs w:val="20"/>
              </w:rPr>
              <w:t>Provincia di Trento</w:t>
            </w:r>
          </w:p>
          <w:p w:rsidR="00CA0C55" w:rsidRPr="00381895" w:rsidRDefault="00CA0C55" w:rsidP="00842FEF">
            <w:pPr>
              <w:jc w:val="center"/>
              <w:rPr>
                <w:rFonts w:ascii="Arial" w:hAnsi="Arial" w:cs="Arial"/>
                <w:sz w:val="20"/>
                <w:szCs w:val="20"/>
              </w:rPr>
            </w:pPr>
          </w:p>
          <w:p w:rsidR="00CA0C55" w:rsidRPr="00381895" w:rsidRDefault="00CA0C55" w:rsidP="00842FEF">
            <w:pPr>
              <w:rPr>
                <w:rFonts w:ascii="Arial" w:hAnsi="Arial" w:cs="Arial"/>
              </w:rPr>
            </w:pPr>
          </w:p>
        </w:tc>
        <w:tc>
          <w:tcPr>
            <w:tcW w:w="2658" w:type="dxa"/>
          </w:tcPr>
          <w:p w:rsidR="00CA0C55" w:rsidRPr="00AE18B4" w:rsidRDefault="00CA0C55" w:rsidP="00AE18B4">
            <w:pPr>
              <w:rPr>
                <w:rFonts w:ascii="Arial" w:hAnsi="Arial" w:cs="Arial"/>
                <w:sz w:val="16"/>
                <w:szCs w:val="16"/>
              </w:rPr>
            </w:pPr>
          </w:p>
        </w:tc>
      </w:tr>
      <w:bookmarkEnd w:id="0"/>
    </w:tbl>
    <w:p w:rsidR="00582DE2" w:rsidRDefault="00582DE2" w:rsidP="00D93A0A">
      <w:pPr>
        <w:pStyle w:val="Titolo1"/>
        <w:spacing w:before="240" w:after="0"/>
        <w:ind w:left="567" w:right="0"/>
        <w:rPr>
          <w:rFonts w:ascii="Arial" w:hAnsi="Arial" w:cs="Arial"/>
          <w:b w:val="0"/>
          <w:bCs w:val="0"/>
          <w:sz w:val="18"/>
        </w:rPr>
      </w:pPr>
    </w:p>
    <w:p w:rsidR="00D93A0A" w:rsidRPr="0080282F" w:rsidRDefault="00D93A0A" w:rsidP="00D93A0A">
      <w:pPr>
        <w:jc w:val="center"/>
        <w:rPr>
          <w:rFonts w:ascii="Arial" w:hAnsi="Arial" w:cs="Arial"/>
          <w:sz w:val="20"/>
          <w:szCs w:val="20"/>
        </w:rPr>
      </w:pPr>
      <w:r w:rsidRPr="00847862">
        <w:rPr>
          <w:rFonts w:ascii="Arial" w:hAnsi="Arial" w:cs="Arial"/>
          <w:sz w:val="20"/>
          <w:szCs w:val="20"/>
        </w:rPr>
        <w:t>Allegato 1 alla deliberazion</w:t>
      </w:r>
      <w:r w:rsidR="00C91D46" w:rsidRPr="00847862">
        <w:rPr>
          <w:rFonts w:ascii="Arial" w:hAnsi="Arial" w:cs="Arial"/>
          <w:sz w:val="20"/>
          <w:szCs w:val="20"/>
        </w:rPr>
        <w:t>e della Giunta comunale n.</w:t>
      </w:r>
      <w:r w:rsidR="00E93D7E">
        <w:rPr>
          <w:rFonts w:ascii="Arial" w:hAnsi="Arial" w:cs="Arial"/>
          <w:sz w:val="20"/>
          <w:szCs w:val="20"/>
        </w:rPr>
        <w:t xml:space="preserve"> 37</w:t>
      </w:r>
      <w:r w:rsidR="00847862" w:rsidRPr="00847862">
        <w:rPr>
          <w:rFonts w:ascii="Arial" w:hAnsi="Arial" w:cs="Arial"/>
          <w:sz w:val="20"/>
          <w:szCs w:val="20"/>
        </w:rPr>
        <w:t>/2022</w:t>
      </w:r>
      <w:r w:rsidR="0080282F" w:rsidRPr="00847862">
        <w:rPr>
          <w:rFonts w:ascii="Arial" w:hAnsi="Arial" w:cs="Arial"/>
          <w:sz w:val="20"/>
          <w:szCs w:val="20"/>
        </w:rPr>
        <w:t xml:space="preserve"> </w:t>
      </w:r>
      <w:r w:rsidR="00E93D7E">
        <w:rPr>
          <w:rFonts w:ascii="Arial" w:hAnsi="Arial" w:cs="Arial"/>
          <w:sz w:val="20"/>
          <w:szCs w:val="20"/>
        </w:rPr>
        <w:t>del  29.04.</w:t>
      </w:r>
      <w:r w:rsidR="00847862" w:rsidRPr="00847862">
        <w:rPr>
          <w:rFonts w:ascii="Arial" w:hAnsi="Arial" w:cs="Arial"/>
          <w:sz w:val="20"/>
          <w:szCs w:val="20"/>
        </w:rPr>
        <w:t>2022</w:t>
      </w:r>
    </w:p>
    <w:p w:rsidR="00582DE2" w:rsidRDefault="00582DE2" w:rsidP="006F6017">
      <w:pPr>
        <w:pStyle w:val="Titolo1"/>
        <w:spacing w:before="240" w:after="0"/>
        <w:ind w:left="8817" w:right="0"/>
        <w:jc w:val="center"/>
        <w:rPr>
          <w:rFonts w:ascii="Arial" w:hAnsi="Arial" w:cs="Arial"/>
          <w:b w:val="0"/>
          <w:bCs w:val="0"/>
          <w:sz w:val="18"/>
        </w:rPr>
      </w:pPr>
    </w:p>
    <w:p w:rsidR="00582DE2" w:rsidRDefault="00582DE2" w:rsidP="00582DE2">
      <w:pPr>
        <w:overflowPunct w:val="0"/>
        <w:spacing w:after="200" w:line="276" w:lineRule="auto"/>
        <w:jc w:val="center"/>
        <w:rPr>
          <w:rFonts w:ascii="Calibri" w:eastAsia="Calibri" w:hAnsi="Calibri"/>
          <w:b/>
          <w:bCs/>
          <w:sz w:val="36"/>
          <w:szCs w:val="36"/>
          <w:lang w:eastAsia="en-US"/>
        </w:rPr>
      </w:pPr>
      <w:r>
        <w:rPr>
          <w:rFonts w:ascii="Calibri" w:eastAsia="Calibri" w:hAnsi="Calibri"/>
          <w:b/>
          <w:bCs/>
          <w:sz w:val="36"/>
          <w:szCs w:val="36"/>
          <w:lang w:eastAsia="en-US"/>
        </w:rPr>
        <w:t xml:space="preserve">PIANO TRIENNALE DI PREVENZIONE DELLA CORRUZIONE E </w:t>
      </w:r>
    </w:p>
    <w:p w:rsidR="00582DE2" w:rsidRDefault="00582DE2" w:rsidP="00582DE2">
      <w:pPr>
        <w:overflowPunct w:val="0"/>
        <w:spacing w:after="200" w:line="276" w:lineRule="auto"/>
        <w:jc w:val="center"/>
        <w:rPr>
          <w:rFonts w:ascii="Calibri" w:eastAsia="Calibri" w:hAnsi="Calibri"/>
          <w:b/>
          <w:bCs/>
          <w:sz w:val="36"/>
          <w:szCs w:val="36"/>
          <w:lang w:eastAsia="en-US"/>
        </w:rPr>
      </w:pPr>
      <w:r>
        <w:rPr>
          <w:rFonts w:ascii="Calibri" w:eastAsia="Calibri" w:hAnsi="Calibri"/>
          <w:b/>
          <w:bCs/>
          <w:sz w:val="36"/>
          <w:szCs w:val="36"/>
          <w:lang w:eastAsia="en-US"/>
        </w:rPr>
        <w:t xml:space="preserve">DELLA TRASPARENZA </w:t>
      </w:r>
    </w:p>
    <w:p w:rsidR="00582DE2" w:rsidRDefault="00582DE2" w:rsidP="00582DE2">
      <w:pPr>
        <w:overflowPunct w:val="0"/>
        <w:spacing w:after="200" w:line="276" w:lineRule="auto"/>
        <w:jc w:val="center"/>
      </w:pPr>
      <w:r>
        <w:rPr>
          <w:rFonts w:ascii="Calibri" w:eastAsia="Calibri" w:hAnsi="Calibri"/>
          <w:b/>
          <w:bCs/>
          <w:sz w:val="36"/>
          <w:szCs w:val="36"/>
          <w:lang w:eastAsia="en-US"/>
        </w:rPr>
        <w:t>2021-2023</w:t>
      </w:r>
    </w:p>
    <w:p w:rsidR="00582DE2" w:rsidRDefault="00582DE2" w:rsidP="00582DE2">
      <w:pPr>
        <w:spacing w:after="200" w:line="276" w:lineRule="auto"/>
        <w:jc w:val="center"/>
        <w:rPr>
          <w:rFonts w:ascii="Calibri" w:eastAsia="Calibri" w:hAnsi="Calibri"/>
          <w:b/>
          <w:bCs/>
          <w:sz w:val="28"/>
          <w:szCs w:val="28"/>
          <w:lang w:eastAsia="en-US"/>
        </w:rPr>
      </w:pPr>
      <w:r>
        <w:rPr>
          <w:rFonts w:ascii="Calibri" w:eastAsia="Calibri" w:hAnsi="Calibri"/>
          <w:b/>
          <w:bCs/>
          <w:sz w:val="28"/>
          <w:szCs w:val="28"/>
          <w:lang w:eastAsia="en-US"/>
        </w:rPr>
        <w:t>in applicazione Legge n. 190 del 06.11.2012</w:t>
      </w:r>
    </w:p>
    <w:p w:rsidR="00582DE2" w:rsidRDefault="00582DE2" w:rsidP="00582DE2">
      <w:pPr>
        <w:overflowPunct w:val="0"/>
        <w:spacing w:after="200" w:line="200" w:lineRule="exact"/>
        <w:rPr>
          <w:rFonts w:ascii="Calibri" w:eastAsia="Calibri" w:hAnsi="Calibri"/>
          <w:sz w:val="20"/>
          <w:szCs w:val="20"/>
          <w:lang w:eastAsia="en-US"/>
        </w:rPr>
      </w:pPr>
    </w:p>
    <w:p w:rsidR="00582DE2" w:rsidRDefault="00582DE2" w:rsidP="00582DE2">
      <w:pPr>
        <w:tabs>
          <w:tab w:val="left" w:pos="0"/>
        </w:tabs>
        <w:autoSpaceDE w:val="0"/>
        <w:jc w:val="both"/>
        <w:rPr>
          <w:rFonts w:ascii="Calibri" w:hAnsi="Calibri" w:cs="Arial"/>
          <w:color w:val="000000"/>
          <w:sz w:val="20"/>
          <w:szCs w:val="20"/>
        </w:rPr>
      </w:pPr>
    </w:p>
    <w:p w:rsidR="00582DE2" w:rsidRDefault="00582DE2" w:rsidP="00582DE2">
      <w:pPr>
        <w:pStyle w:val="Headerleft"/>
        <w:spacing w:after="0" w:line="240" w:lineRule="auto"/>
        <w:rPr>
          <w:rFonts w:cs="Arial"/>
          <w:color w:val="000000"/>
          <w:kern w:val="0"/>
          <w:sz w:val="20"/>
          <w:szCs w:val="20"/>
          <w:lang w:eastAsia="it-IT"/>
        </w:rPr>
      </w:pPr>
    </w:p>
    <w:p w:rsidR="00AE18B4" w:rsidRDefault="00AE18B4" w:rsidP="00AE18B4">
      <w:pPr>
        <w:spacing w:before="80" w:after="120"/>
        <w:jc w:val="both"/>
        <w:rPr>
          <w:rFonts w:ascii="Arial" w:hAnsi="Arial" w:cs="Arial"/>
          <w:b/>
          <w:color w:val="808080"/>
          <w:sz w:val="21"/>
          <w:szCs w:val="21"/>
        </w:rPr>
      </w:pPr>
      <w:r>
        <w:rPr>
          <w:rFonts w:ascii="Arial" w:hAnsi="Arial" w:cs="Arial"/>
          <w:b/>
          <w:color w:val="808080"/>
          <w:sz w:val="21"/>
          <w:szCs w:val="21"/>
        </w:rPr>
        <w:t>Approvato con Delibera della Giunta comunale n. 3 del 28 gennaio 2014</w:t>
      </w:r>
    </w:p>
    <w:p w:rsidR="00AE18B4" w:rsidRDefault="00AE18B4" w:rsidP="00AE18B4">
      <w:pPr>
        <w:spacing w:before="80" w:after="120"/>
        <w:jc w:val="both"/>
        <w:rPr>
          <w:rFonts w:ascii="Arial" w:hAnsi="Arial" w:cs="Arial"/>
          <w:b/>
          <w:color w:val="808080"/>
          <w:sz w:val="21"/>
          <w:szCs w:val="21"/>
        </w:rPr>
      </w:pPr>
      <w:r>
        <w:rPr>
          <w:rFonts w:ascii="Arial" w:hAnsi="Arial" w:cs="Arial"/>
          <w:b/>
          <w:color w:val="808080"/>
          <w:sz w:val="21"/>
          <w:szCs w:val="21"/>
        </w:rPr>
        <w:t>Aggiornato con Delibera della Giunta comunale n. 15 del 19 febbraio 2015</w:t>
      </w:r>
    </w:p>
    <w:p w:rsidR="00AE18B4" w:rsidRDefault="00AE18B4" w:rsidP="00AE18B4">
      <w:pPr>
        <w:spacing w:before="80" w:after="120"/>
        <w:jc w:val="both"/>
        <w:rPr>
          <w:rFonts w:ascii="Arial" w:hAnsi="Arial" w:cs="Arial"/>
          <w:b/>
          <w:color w:val="808080"/>
          <w:sz w:val="21"/>
          <w:szCs w:val="21"/>
        </w:rPr>
      </w:pPr>
      <w:r>
        <w:rPr>
          <w:rFonts w:ascii="Arial" w:hAnsi="Arial" w:cs="Arial"/>
          <w:b/>
          <w:color w:val="808080"/>
          <w:sz w:val="21"/>
          <w:szCs w:val="21"/>
        </w:rPr>
        <w:t>Aggiornato con Delibera della Giunta comunale n. 8 del 9 febbraio 2016</w:t>
      </w:r>
    </w:p>
    <w:p w:rsidR="00AE18B4" w:rsidRDefault="00AE18B4" w:rsidP="00AE18B4">
      <w:pPr>
        <w:spacing w:before="80" w:after="120"/>
        <w:jc w:val="both"/>
        <w:rPr>
          <w:rFonts w:ascii="Arial" w:hAnsi="Arial" w:cs="Arial"/>
          <w:b/>
          <w:color w:val="808080"/>
          <w:sz w:val="21"/>
          <w:szCs w:val="21"/>
        </w:rPr>
      </w:pPr>
      <w:r>
        <w:rPr>
          <w:rFonts w:ascii="Arial" w:hAnsi="Arial" w:cs="Arial"/>
          <w:b/>
          <w:color w:val="808080"/>
          <w:sz w:val="21"/>
          <w:szCs w:val="21"/>
        </w:rPr>
        <w:t>Aggiornato con Delibera della Giunta comunale n. 14 del 31 gennaio 2017</w:t>
      </w:r>
    </w:p>
    <w:p w:rsidR="00AE18B4" w:rsidRDefault="00AE18B4" w:rsidP="00AE18B4">
      <w:pPr>
        <w:spacing w:before="80" w:after="120"/>
        <w:jc w:val="both"/>
        <w:rPr>
          <w:rFonts w:ascii="Arial" w:hAnsi="Arial" w:cs="Arial"/>
          <w:b/>
          <w:color w:val="808080"/>
          <w:sz w:val="21"/>
          <w:szCs w:val="21"/>
        </w:rPr>
      </w:pPr>
      <w:r>
        <w:rPr>
          <w:rFonts w:ascii="Arial" w:hAnsi="Arial" w:cs="Arial"/>
          <w:b/>
          <w:color w:val="808080"/>
          <w:sz w:val="21"/>
          <w:szCs w:val="21"/>
        </w:rPr>
        <w:t>Aggiornato con Delibera della Giunta comunale n. 12 del 30 gennaio 2018</w:t>
      </w:r>
    </w:p>
    <w:p w:rsidR="00AE18B4" w:rsidRDefault="00AE18B4" w:rsidP="00AE18B4">
      <w:pPr>
        <w:spacing w:before="80" w:after="120"/>
        <w:jc w:val="both"/>
        <w:rPr>
          <w:rFonts w:ascii="Arial" w:hAnsi="Arial" w:cs="Arial"/>
          <w:b/>
          <w:color w:val="808080"/>
          <w:sz w:val="21"/>
          <w:szCs w:val="21"/>
        </w:rPr>
      </w:pPr>
      <w:r>
        <w:rPr>
          <w:rFonts w:ascii="Arial" w:hAnsi="Arial" w:cs="Arial"/>
          <w:b/>
          <w:color w:val="808080"/>
          <w:sz w:val="21"/>
          <w:szCs w:val="21"/>
        </w:rPr>
        <w:t>Approvato con Delibera della Giunta comunale n. 2 del 29 gennaio 2019</w:t>
      </w:r>
    </w:p>
    <w:p w:rsidR="00AE18B4" w:rsidRDefault="00AE18B4" w:rsidP="00AE18B4">
      <w:pPr>
        <w:spacing w:before="80" w:after="120"/>
        <w:jc w:val="both"/>
        <w:rPr>
          <w:rFonts w:ascii="Arial" w:hAnsi="Arial" w:cs="Arial"/>
          <w:b/>
          <w:color w:val="808080"/>
          <w:sz w:val="21"/>
          <w:szCs w:val="21"/>
        </w:rPr>
      </w:pPr>
      <w:r w:rsidRPr="00596BDF">
        <w:rPr>
          <w:rFonts w:ascii="Arial" w:hAnsi="Arial" w:cs="Arial"/>
          <w:b/>
          <w:color w:val="808080"/>
          <w:sz w:val="21"/>
          <w:szCs w:val="21"/>
        </w:rPr>
        <w:t xml:space="preserve">Aggiornato con Delibera della Giunta comunale n. </w:t>
      </w:r>
      <w:r w:rsidR="00596BDF" w:rsidRPr="00596BDF">
        <w:rPr>
          <w:rFonts w:ascii="Arial" w:hAnsi="Arial" w:cs="Arial"/>
          <w:b/>
          <w:color w:val="808080"/>
          <w:sz w:val="21"/>
          <w:szCs w:val="21"/>
        </w:rPr>
        <w:t>6</w:t>
      </w:r>
      <w:r w:rsidRPr="00596BDF">
        <w:rPr>
          <w:rFonts w:ascii="Arial" w:hAnsi="Arial" w:cs="Arial"/>
          <w:b/>
          <w:color w:val="808080"/>
          <w:sz w:val="21"/>
          <w:szCs w:val="21"/>
        </w:rPr>
        <w:t xml:space="preserve"> del </w:t>
      </w:r>
      <w:r w:rsidR="00596BDF" w:rsidRPr="00596BDF">
        <w:rPr>
          <w:rFonts w:ascii="Arial" w:hAnsi="Arial" w:cs="Arial"/>
          <w:b/>
          <w:color w:val="808080"/>
          <w:sz w:val="21"/>
          <w:szCs w:val="21"/>
        </w:rPr>
        <w:t>21</w:t>
      </w:r>
      <w:r w:rsidRPr="00596BDF">
        <w:rPr>
          <w:rFonts w:ascii="Arial" w:hAnsi="Arial" w:cs="Arial"/>
          <w:b/>
          <w:color w:val="808080"/>
          <w:sz w:val="21"/>
          <w:szCs w:val="21"/>
        </w:rPr>
        <w:t xml:space="preserve"> gennaio 2020</w:t>
      </w:r>
    </w:p>
    <w:p w:rsidR="00AE18B4" w:rsidRDefault="00AE18B4" w:rsidP="00AE18B4">
      <w:pPr>
        <w:spacing w:before="80" w:after="120"/>
        <w:jc w:val="both"/>
        <w:rPr>
          <w:rFonts w:ascii="Arial" w:hAnsi="Arial" w:cs="Arial"/>
          <w:b/>
          <w:color w:val="808080"/>
          <w:sz w:val="21"/>
          <w:szCs w:val="21"/>
        </w:rPr>
      </w:pPr>
      <w:r w:rsidRPr="00C91D46">
        <w:rPr>
          <w:rFonts w:ascii="Arial" w:hAnsi="Arial" w:cs="Arial"/>
          <w:b/>
          <w:color w:val="808080"/>
          <w:sz w:val="21"/>
          <w:szCs w:val="21"/>
        </w:rPr>
        <w:t>A</w:t>
      </w:r>
      <w:r w:rsidR="0080282F" w:rsidRPr="00C91D46">
        <w:rPr>
          <w:rFonts w:ascii="Arial" w:hAnsi="Arial" w:cs="Arial"/>
          <w:b/>
          <w:color w:val="808080"/>
          <w:sz w:val="21"/>
          <w:szCs w:val="21"/>
        </w:rPr>
        <w:t>pprovato</w:t>
      </w:r>
      <w:r w:rsidRPr="00C91D46">
        <w:rPr>
          <w:rFonts w:ascii="Arial" w:hAnsi="Arial" w:cs="Arial"/>
          <w:b/>
          <w:color w:val="808080"/>
          <w:sz w:val="21"/>
          <w:szCs w:val="21"/>
        </w:rPr>
        <w:t xml:space="preserve"> con Delib</w:t>
      </w:r>
      <w:r w:rsidR="00C91D46" w:rsidRPr="00C91D46">
        <w:rPr>
          <w:rFonts w:ascii="Arial" w:hAnsi="Arial" w:cs="Arial"/>
          <w:b/>
          <w:color w:val="808080"/>
          <w:sz w:val="21"/>
          <w:szCs w:val="21"/>
        </w:rPr>
        <w:t>era della Giunta comunale n. 22 del 30</w:t>
      </w:r>
      <w:r w:rsidRPr="00C91D46">
        <w:rPr>
          <w:rFonts w:ascii="Arial" w:hAnsi="Arial" w:cs="Arial"/>
          <w:b/>
          <w:color w:val="808080"/>
          <w:sz w:val="21"/>
          <w:szCs w:val="21"/>
        </w:rPr>
        <w:t xml:space="preserve"> </w:t>
      </w:r>
      <w:r w:rsidR="0080282F" w:rsidRPr="00C91D46">
        <w:rPr>
          <w:rFonts w:ascii="Arial" w:hAnsi="Arial" w:cs="Arial"/>
          <w:b/>
          <w:color w:val="808080"/>
          <w:sz w:val="21"/>
          <w:szCs w:val="21"/>
        </w:rPr>
        <w:t>marzo</w:t>
      </w:r>
      <w:r w:rsidRPr="00C91D46">
        <w:rPr>
          <w:rFonts w:ascii="Arial" w:hAnsi="Arial" w:cs="Arial"/>
          <w:b/>
          <w:color w:val="808080"/>
          <w:sz w:val="21"/>
          <w:szCs w:val="21"/>
        </w:rPr>
        <w:t xml:space="preserve"> 202</w:t>
      </w:r>
      <w:r w:rsidR="0080282F" w:rsidRPr="00C91D46">
        <w:rPr>
          <w:rFonts w:ascii="Arial" w:hAnsi="Arial" w:cs="Arial"/>
          <w:b/>
          <w:color w:val="808080"/>
          <w:sz w:val="21"/>
          <w:szCs w:val="21"/>
        </w:rPr>
        <w:t>1</w:t>
      </w:r>
    </w:p>
    <w:p w:rsidR="00E62347" w:rsidRDefault="00E62347" w:rsidP="00E62347">
      <w:pPr>
        <w:spacing w:before="80" w:after="120"/>
        <w:jc w:val="both"/>
        <w:rPr>
          <w:rFonts w:ascii="Arial" w:hAnsi="Arial" w:cs="Arial"/>
          <w:b/>
          <w:color w:val="808080"/>
          <w:sz w:val="21"/>
          <w:szCs w:val="21"/>
        </w:rPr>
      </w:pPr>
      <w:r w:rsidRPr="00C91D46">
        <w:rPr>
          <w:rFonts w:ascii="Arial" w:hAnsi="Arial" w:cs="Arial"/>
          <w:b/>
          <w:color w:val="808080"/>
          <w:sz w:val="21"/>
          <w:szCs w:val="21"/>
        </w:rPr>
        <w:t>Approvato con Delibera della Giunta comunale n</w:t>
      </w:r>
      <w:r w:rsidRPr="00847862">
        <w:rPr>
          <w:rFonts w:ascii="Arial" w:hAnsi="Arial" w:cs="Arial"/>
          <w:b/>
          <w:color w:val="808080"/>
          <w:sz w:val="21"/>
          <w:szCs w:val="21"/>
        </w:rPr>
        <w:t xml:space="preserve">. </w:t>
      </w:r>
      <w:r w:rsidR="00E93D7E">
        <w:rPr>
          <w:rFonts w:ascii="Arial" w:hAnsi="Arial" w:cs="Arial"/>
          <w:b/>
          <w:color w:val="808080"/>
          <w:sz w:val="21"/>
          <w:szCs w:val="21"/>
        </w:rPr>
        <w:t>37 del 29 aprile</w:t>
      </w:r>
      <w:r w:rsidR="00847862" w:rsidRPr="00847862">
        <w:rPr>
          <w:rFonts w:ascii="Arial" w:hAnsi="Arial" w:cs="Arial"/>
          <w:b/>
          <w:color w:val="808080"/>
          <w:sz w:val="21"/>
          <w:szCs w:val="21"/>
        </w:rPr>
        <w:t xml:space="preserve"> 2022</w:t>
      </w:r>
    </w:p>
    <w:p w:rsidR="00AE18B4" w:rsidRDefault="00AE18B4" w:rsidP="00AE18B4">
      <w:pPr>
        <w:spacing w:before="80" w:after="120"/>
        <w:jc w:val="both"/>
        <w:rPr>
          <w:rFonts w:ascii="Arial" w:hAnsi="Arial" w:cs="Arial"/>
          <w:b/>
          <w:color w:val="808080"/>
          <w:sz w:val="21"/>
          <w:szCs w:val="21"/>
        </w:rPr>
      </w:pPr>
    </w:p>
    <w:p w:rsidR="00582DE2" w:rsidRDefault="00582DE2" w:rsidP="00582DE2">
      <w:pPr>
        <w:pStyle w:val="Headerleft"/>
        <w:spacing w:after="0" w:line="240" w:lineRule="auto"/>
        <w:rPr>
          <w:rFonts w:cs="Arial"/>
          <w:color w:val="000000"/>
          <w:kern w:val="0"/>
          <w:sz w:val="20"/>
          <w:szCs w:val="20"/>
          <w:lang w:eastAsia="it-IT"/>
        </w:rPr>
      </w:pPr>
    </w:p>
    <w:p w:rsidR="00582DE2" w:rsidRDefault="00582DE2" w:rsidP="00582DE2">
      <w:pPr>
        <w:pStyle w:val="Headerleft"/>
        <w:spacing w:after="0" w:line="240" w:lineRule="auto"/>
      </w:pPr>
    </w:p>
    <w:p w:rsidR="00582DE2" w:rsidRDefault="00582DE2" w:rsidP="00582DE2">
      <w:pPr>
        <w:pStyle w:val="Headerleft"/>
        <w:spacing w:after="0" w:line="240" w:lineRule="auto"/>
      </w:pPr>
    </w:p>
    <w:p w:rsidR="00582DE2" w:rsidRDefault="00582DE2" w:rsidP="00582DE2">
      <w:pPr>
        <w:pStyle w:val="ContentsHeading"/>
        <w:tabs>
          <w:tab w:val="right" w:leader="dot" w:pos="9972"/>
        </w:tabs>
      </w:pPr>
      <w:r>
        <w:rPr>
          <w:rFonts w:eastAsia="Times New Roman" w:cs="Times New Roman"/>
          <w:b w:val="0"/>
          <w:bCs w:val="0"/>
          <w:sz w:val="22"/>
          <w:szCs w:val="22"/>
        </w:rPr>
        <w:lastRenderedPageBreak/>
        <w:fldChar w:fldCharType="begin"/>
      </w:r>
      <w:r>
        <w:instrText xml:space="preserve"> TOC \o "1-9" \u \l 1-9 \h </w:instrText>
      </w:r>
      <w:r>
        <w:rPr>
          <w:rFonts w:eastAsia="Times New Roman" w:cs="Times New Roman"/>
          <w:b w:val="0"/>
          <w:bCs w:val="0"/>
          <w:sz w:val="22"/>
          <w:szCs w:val="22"/>
        </w:rPr>
        <w:fldChar w:fldCharType="separate"/>
      </w:r>
      <w:r>
        <w:t>Indice generale</w:t>
      </w:r>
    </w:p>
    <w:p w:rsidR="00582DE2" w:rsidRDefault="002B2E53" w:rsidP="00582DE2">
      <w:pPr>
        <w:pStyle w:val="Contents1"/>
        <w:tabs>
          <w:tab w:val="right" w:leader="dot" w:pos="9922"/>
        </w:tabs>
      </w:pPr>
      <w:hyperlink w:anchor="__RefHeading___Toc1938_761212699" w:history="1">
        <w:r w:rsidR="00582DE2">
          <w:t>PREMESSA</w:t>
        </w:r>
        <w:r w:rsidR="00582DE2">
          <w:tab/>
          <w:t>4</w:t>
        </w:r>
      </w:hyperlink>
    </w:p>
    <w:p w:rsidR="00582DE2" w:rsidRDefault="002B2E53" w:rsidP="00582DE2">
      <w:pPr>
        <w:pStyle w:val="Contents1"/>
        <w:tabs>
          <w:tab w:val="right" w:leader="dot" w:pos="9922"/>
        </w:tabs>
      </w:pPr>
      <w:hyperlink w:anchor="__RefHeading___Toc1940_761212699" w:history="1">
        <w:r w:rsidR="00582DE2">
          <w:t>1. LE FINALITA’ DEL PIANO</w:t>
        </w:r>
        <w:r w:rsidR="00582DE2">
          <w:tab/>
        </w:r>
      </w:hyperlink>
      <w:r w:rsidR="001D67B4">
        <w:t>7</w:t>
      </w:r>
    </w:p>
    <w:p w:rsidR="00582DE2" w:rsidRDefault="002B2E53" w:rsidP="00582DE2">
      <w:pPr>
        <w:pStyle w:val="Contents1"/>
        <w:tabs>
          <w:tab w:val="right" w:leader="dot" w:pos="9922"/>
        </w:tabs>
      </w:pPr>
      <w:hyperlink w:anchor="__RefHeading___Toc1942_761212699" w:history="1">
        <w:r w:rsidR="00582DE2">
          <w:t>2. IL PERCORSO DI COSTRUZIONE DEL PIANO</w:t>
        </w:r>
        <w:r w:rsidR="00582DE2">
          <w:tab/>
        </w:r>
        <w:r w:rsidR="00173B4F">
          <w:t>8</w:t>
        </w:r>
      </w:hyperlink>
    </w:p>
    <w:bookmarkStart w:id="2" w:name="_Hlk63332900"/>
    <w:p w:rsidR="00582DE2" w:rsidRDefault="00582DE2" w:rsidP="00582DE2">
      <w:pPr>
        <w:pStyle w:val="Contents2"/>
        <w:tabs>
          <w:tab w:val="right" w:leader="dot" w:pos="10347"/>
        </w:tabs>
      </w:pPr>
      <w:r>
        <w:fldChar w:fldCharType="begin"/>
      </w:r>
      <w:r>
        <w:instrText xml:space="preserve"> HYPERLINK  "#__RefHeading___Toc1944_761212699" </w:instrText>
      </w:r>
      <w:r>
        <w:fldChar w:fldCharType="separate"/>
      </w:r>
      <w:r>
        <w:t xml:space="preserve">2.1. </w:t>
      </w:r>
      <w:bookmarkStart w:id="3" w:name="_Hlt63332846"/>
      <w:bookmarkStart w:id="4" w:name="_Hlt63332847"/>
      <w:bookmarkEnd w:id="3"/>
      <w:bookmarkEnd w:id="4"/>
      <w:r>
        <w:t>GLI ASPETTI PRESI IN CONSIDERAZIONE</w:t>
      </w:r>
      <w:r>
        <w:tab/>
      </w:r>
      <w:r w:rsidR="00173B4F">
        <w:t>8</w:t>
      </w:r>
      <w:r>
        <w:fldChar w:fldCharType="end"/>
      </w:r>
    </w:p>
    <w:bookmarkEnd w:id="2"/>
    <w:p w:rsidR="00582DE2" w:rsidRDefault="00582DE2" w:rsidP="00582DE2">
      <w:pPr>
        <w:pStyle w:val="Contents2"/>
        <w:tabs>
          <w:tab w:val="right" w:leader="dot" w:pos="10347"/>
        </w:tabs>
      </w:pPr>
      <w:r>
        <w:fldChar w:fldCharType="begin"/>
      </w:r>
      <w:r>
        <w:instrText xml:space="preserve"> HYPERLINK  "#__RefHeading___Toc1944_761212699" </w:instrText>
      </w:r>
      <w:r>
        <w:fldChar w:fldCharType="separate"/>
      </w:r>
      <w:r>
        <w:t>2.2. SENSIBILIZZAZIONE DEI RESPONSABILI DEGLI UFFICI E CONDIVISIONE DELL’APPROCIO</w:t>
      </w:r>
      <w:r>
        <w:tab/>
      </w:r>
      <w:r w:rsidR="00173B4F">
        <w:t>9</w:t>
      </w:r>
      <w:r>
        <w:fldChar w:fldCharType="end"/>
      </w:r>
    </w:p>
    <w:bookmarkStart w:id="5" w:name="_Hlk63332998"/>
    <w:p w:rsidR="00582DE2" w:rsidRDefault="00582DE2" w:rsidP="00582DE2">
      <w:pPr>
        <w:pStyle w:val="Contents2"/>
        <w:tabs>
          <w:tab w:val="right" w:leader="dot" w:pos="10347"/>
        </w:tabs>
      </w:pPr>
      <w:r>
        <w:fldChar w:fldCharType="begin"/>
      </w:r>
      <w:r>
        <w:instrText xml:space="preserve"> HYPERLINK  "#__RefHeading___Toc1944_761212699" </w:instrText>
      </w:r>
      <w:r>
        <w:fldChar w:fldCharType="separate"/>
      </w:r>
      <w:r>
        <w:t>2.3. IL SUPPORTO DEL CONSORZIO DEI COMUNI TRENTINI</w:t>
      </w:r>
      <w:r>
        <w:tab/>
      </w:r>
      <w:r w:rsidR="00173B4F">
        <w:t>9</w:t>
      </w:r>
      <w:r>
        <w:fldChar w:fldCharType="end"/>
      </w:r>
    </w:p>
    <w:bookmarkEnd w:id="5"/>
    <w:p w:rsidR="00582DE2" w:rsidRDefault="00582DE2" w:rsidP="00582DE2">
      <w:pPr>
        <w:pStyle w:val="Contents2"/>
        <w:tabs>
          <w:tab w:val="right" w:leader="dot" w:pos="10347"/>
        </w:tabs>
      </w:pPr>
      <w:r>
        <w:fldChar w:fldCharType="begin"/>
      </w:r>
      <w:r>
        <w:instrText xml:space="preserve"> HYPERLINK  "#__RefHeading___Toc1944_761212699" </w:instrText>
      </w:r>
      <w:r>
        <w:fldChar w:fldCharType="separate"/>
      </w:r>
      <w:r>
        <w:t>2.4. AZIONI PREVENTIVE E CONTROLLI</w:t>
      </w:r>
      <w:r>
        <w:tab/>
      </w:r>
      <w:r w:rsidR="00173B4F">
        <w:t>9</w:t>
      </w:r>
      <w:r>
        <w:fldChar w:fldCharType="end"/>
      </w:r>
    </w:p>
    <w:bookmarkStart w:id="6" w:name="_Hlk63333107"/>
    <w:p w:rsidR="00582DE2" w:rsidRDefault="00582DE2" w:rsidP="00582DE2">
      <w:pPr>
        <w:pStyle w:val="Contents2"/>
        <w:tabs>
          <w:tab w:val="right" w:leader="dot" w:pos="10347"/>
        </w:tabs>
      </w:pPr>
      <w:r>
        <w:fldChar w:fldCharType="begin"/>
      </w:r>
      <w:r>
        <w:instrText xml:space="preserve"> HYPERLINK  "#__RefHeading___Toc1944_761212699" </w:instrText>
      </w:r>
      <w:r>
        <w:fldChar w:fldCharType="separate"/>
      </w:r>
      <w:r>
        <w:t>2.5. STESURA E APPROVAZIONE DEL PTPCT</w:t>
      </w:r>
      <w:r>
        <w:tab/>
      </w:r>
      <w:r w:rsidR="00173B4F">
        <w:t>9</w:t>
      </w:r>
      <w:r>
        <w:fldChar w:fldCharType="end"/>
      </w:r>
    </w:p>
    <w:bookmarkEnd w:id="6"/>
    <w:p w:rsidR="00582DE2" w:rsidRDefault="00582DE2" w:rsidP="00582DE2">
      <w:pPr>
        <w:pStyle w:val="Contents2"/>
        <w:tabs>
          <w:tab w:val="right" w:leader="dot" w:pos="10347"/>
        </w:tabs>
      </w:pPr>
      <w:r>
        <w:fldChar w:fldCharType="begin"/>
      </w:r>
      <w:r>
        <w:instrText xml:space="preserve"> HYPERLINK  "#__RefHeading___Toc1944_761212699" </w:instrText>
      </w:r>
      <w:r>
        <w:fldChar w:fldCharType="separate"/>
      </w:r>
      <w:r>
        <w:t>2.6. COORDINAMENTO CON GLI STRUMENTI DI PROGRAMMAZIONE DELL’ENTE</w:t>
      </w:r>
      <w:r>
        <w:tab/>
      </w:r>
      <w:r w:rsidR="00C87305">
        <w:t>10</w:t>
      </w:r>
      <w:r>
        <w:fldChar w:fldCharType="end"/>
      </w:r>
    </w:p>
    <w:bookmarkStart w:id="7" w:name="_Hlk63333199"/>
    <w:p w:rsidR="00582DE2" w:rsidRDefault="00582DE2" w:rsidP="00582DE2">
      <w:pPr>
        <w:pStyle w:val="Contents1"/>
        <w:tabs>
          <w:tab w:val="right" w:leader="dot" w:pos="9922"/>
        </w:tabs>
      </w:pPr>
      <w:r>
        <w:fldChar w:fldCharType="begin"/>
      </w:r>
      <w:r>
        <w:instrText xml:space="preserve"> HYPERLINK  "#__RefHeading___Toc1948_761212699" </w:instrText>
      </w:r>
      <w:r>
        <w:fldChar w:fldCharType="separate"/>
      </w:r>
      <w:r>
        <w:t>3. PRINCIPIO DI DELEGA – OBBLIGO DI COLLABORAZIONE – CORRESPONSABILITÀ</w:t>
      </w:r>
      <w:r>
        <w:tab/>
      </w:r>
      <w:r w:rsidR="00C87305">
        <w:t>10</w:t>
      </w:r>
      <w:r>
        <w:fldChar w:fldCharType="end"/>
      </w:r>
    </w:p>
    <w:p w:rsidR="00582DE2" w:rsidRDefault="002B2E53" w:rsidP="00582DE2">
      <w:pPr>
        <w:pStyle w:val="Contents1"/>
        <w:tabs>
          <w:tab w:val="right" w:leader="dot" w:pos="9922"/>
        </w:tabs>
      </w:pPr>
      <w:hyperlink w:anchor="__RefHeading___Toc1948_761212699" w:history="1">
        <w:r w:rsidR="00582DE2">
          <w:t>4. IL RESPONSABILE DELLA PREVENZIONE DELLA CORRUZIONE E DELLA TRASPARENZA ……</w:t>
        </w:r>
        <w:r w:rsidR="00C87305">
          <w:t>………………………………………………………………………………</w:t>
        </w:r>
        <w:r w:rsidR="00582DE2">
          <w:t>.</w:t>
        </w:r>
        <w:r w:rsidR="00C87305">
          <w:t>11</w:t>
        </w:r>
      </w:hyperlink>
    </w:p>
    <w:bookmarkEnd w:id="7"/>
    <w:p w:rsidR="00582DE2" w:rsidRDefault="00582DE2" w:rsidP="00582DE2">
      <w:pPr>
        <w:pStyle w:val="Contents1"/>
        <w:tabs>
          <w:tab w:val="right" w:leader="dot" w:pos="9922"/>
        </w:tabs>
      </w:pPr>
      <w:r>
        <w:fldChar w:fldCharType="begin"/>
      </w:r>
      <w:r>
        <w:instrText xml:space="preserve"> HYPERLINK  "#__RefHeading___Toc1950_761212699" </w:instrText>
      </w:r>
      <w:r>
        <w:fldChar w:fldCharType="separate"/>
      </w:r>
      <w:r>
        <w:t>5. ANALISI DEL CONTESTO</w:t>
      </w:r>
      <w:r>
        <w:tab/>
        <w:t>1</w:t>
      </w:r>
      <w:r w:rsidR="00C87305">
        <w:t>1</w:t>
      </w:r>
      <w:r>
        <w:fldChar w:fldCharType="end"/>
      </w:r>
    </w:p>
    <w:p w:rsidR="00582DE2" w:rsidRDefault="002B2E53" w:rsidP="00582DE2">
      <w:pPr>
        <w:pStyle w:val="Contents2"/>
        <w:tabs>
          <w:tab w:val="right" w:leader="dot" w:pos="10347"/>
        </w:tabs>
      </w:pPr>
      <w:hyperlink w:anchor="__RefHeading___Toc1944_761212699" w:history="1">
        <w:r w:rsidR="00582DE2">
          <w:t>5.1. ANALISI DEL CONTESTO ESTERNO</w:t>
        </w:r>
        <w:r w:rsidR="00582DE2">
          <w:tab/>
          <w:t>1</w:t>
        </w:r>
        <w:r w:rsidR="00C87305">
          <w:t>1</w:t>
        </w:r>
      </w:hyperlink>
    </w:p>
    <w:p w:rsidR="00582DE2" w:rsidRDefault="002B2E53" w:rsidP="00582DE2">
      <w:pPr>
        <w:pStyle w:val="Contents2"/>
        <w:tabs>
          <w:tab w:val="right" w:leader="dot" w:pos="10347"/>
        </w:tabs>
      </w:pPr>
      <w:hyperlink w:anchor="__RefHeading___Toc1944_761212699" w:history="1">
        <w:r w:rsidR="00582DE2">
          <w:t>5.2. ANALISI DEL CONTESTO INTERNO</w:t>
        </w:r>
        <w:r w:rsidR="00582DE2">
          <w:tab/>
          <w:t>1</w:t>
        </w:r>
        <w:r w:rsidR="00D91190">
          <w:t>4</w:t>
        </w:r>
      </w:hyperlink>
    </w:p>
    <w:p w:rsidR="00582DE2" w:rsidRDefault="00582DE2" w:rsidP="00582DE2">
      <w:pPr>
        <w:pStyle w:val="Contents2"/>
        <w:tabs>
          <w:tab w:val="right" w:leader="dot" w:pos="10347"/>
        </w:tabs>
        <w:spacing w:before="100" w:after="100"/>
      </w:pPr>
      <w:r>
        <w:tab/>
        <w:t>5.2.1. LA STRUTTURA ORGANIZZATIVA</w:t>
      </w:r>
      <w:r>
        <w:tab/>
        <w:t>1</w:t>
      </w:r>
      <w:r w:rsidR="00D91190">
        <w:t>4</w:t>
      </w:r>
    </w:p>
    <w:p w:rsidR="00582DE2" w:rsidRPr="0080282F" w:rsidRDefault="00582DE2" w:rsidP="00D93A0A">
      <w:pPr>
        <w:pStyle w:val="Contents2"/>
        <w:tabs>
          <w:tab w:val="right" w:leader="dot" w:pos="10347"/>
        </w:tabs>
      </w:pPr>
      <w:r w:rsidRPr="00D93A0A">
        <w:rPr>
          <w:bCs/>
          <w:sz w:val="21"/>
          <w:szCs w:val="21"/>
        </w:rPr>
        <w:tab/>
      </w:r>
      <w:r w:rsidRPr="0080282F">
        <w:t>5.2.2  L</w:t>
      </w:r>
      <w:r w:rsidR="00FA6054" w:rsidRPr="0080282F">
        <w:t>E</w:t>
      </w:r>
      <w:r w:rsidRPr="0080282F">
        <w:t xml:space="preserve"> GESTION</w:t>
      </w:r>
      <w:r w:rsidR="00FA6054" w:rsidRPr="0080282F">
        <w:t>I</w:t>
      </w:r>
      <w:r w:rsidRPr="0080282F">
        <w:t xml:space="preserve"> ASSOCIAT</w:t>
      </w:r>
      <w:r w:rsidR="0075108B">
        <w:t>E ……………………………………………………………</w:t>
      </w:r>
      <w:r w:rsidR="00D93A0A" w:rsidRPr="0080282F">
        <w:t>1</w:t>
      </w:r>
      <w:r w:rsidR="00E025F6">
        <w:t>6</w:t>
      </w:r>
    </w:p>
    <w:p w:rsidR="00582DE2" w:rsidRDefault="00582DE2" w:rsidP="00582DE2">
      <w:pPr>
        <w:pStyle w:val="Contents2"/>
        <w:tabs>
          <w:tab w:val="right" w:leader="dot" w:pos="10347"/>
        </w:tabs>
      </w:pPr>
      <w:r w:rsidRPr="0080282F">
        <w:tab/>
        <w:t>5.2.3. LA MAPPATURA DEI PROCESSI</w:t>
      </w:r>
      <w:r>
        <w:tab/>
        <w:t>1</w:t>
      </w:r>
      <w:r w:rsidR="0075108B">
        <w:t>7</w:t>
      </w:r>
    </w:p>
    <w:p w:rsidR="00582DE2" w:rsidRDefault="002B2E53" w:rsidP="00582DE2">
      <w:pPr>
        <w:pStyle w:val="Contents1"/>
        <w:tabs>
          <w:tab w:val="right" w:leader="dot" w:pos="9922"/>
        </w:tabs>
      </w:pPr>
      <w:hyperlink w:anchor="__RefHeading___Toc1952_761212699" w:history="1">
        <w:r w:rsidR="00582DE2">
          <w:t>6. LA VALUTAZIONE DEL RISCHIO</w:t>
        </w:r>
        <w:r w:rsidR="00582DE2">
          <w:tab/>
          <w:t>1</w:t>
        </w:r>
      </w:hyperlink>
      <w:r w:rsidR="00511AFB">
        <w:t>9</w:t>
      </w:r>
    </w:p>
    <w:bookmarkStart w:id="8" w:name="_Hlk63339233"/>
    <w:p w:rsidR="00582DE2" w:rsidRDefault="00582DE2" w:rsidP="00582DE2">
      <w:pPr>
        <w:pStyle w:val="Contents2"/>
        <w:tabs>
          <w:tab w:val="right" w:leader="dot" w:pos="10347"/>
        </w:tabs>
      </w:pPr>
      <w:r>
        <w:fldChar w:fldCharType="begin"/>
      </w:r>
      <w:r>
        <w:instrText xml:space="preserve"> HYPERLINK  "#__RefHeading___Toc1944_761212699" </w:instrText>
      </w:r>
      <w:r>
        <w:fldChar w:fldCharType="separate"/>
      </w:r>
      <w:r>
        <w:t>6.1. IDENTIFICAZIONE EVENTI RISCHIOSI</w:t>
      </w:r>
      <w:r>
        <w:tab/>
        <w:t>1</w:t>
      </w:r>
      <w:r>
        <w:fldChar w:fldCharType="end"/>
      </w:r>
      <w:r w:rsidR="00511AFB">
        <w:t>9</w:t>
      </w:r>
    </w:p>
    <w:bookmarkEnd w:id="8"/>
    <w:p w:rsidR="00582DE2" w:rsidRDefault="00582DE2" w:rsidP="00582DE2">
      <w:pPr>
        <w:pStyle w:val="Contents2"/>
        <w:tabs>
          <w:tab w:val="right" w:leader="dot" w:pos="10347"/>
        </w:tabs>
      </w:pPr>
      <w:r>
        <w:fldChar w:fldCharType="begin"/>
      </w:r>
      <w:r>
        <w:instrText xml:space="preserve"> HYPERLINK  "#__RefHeading___Toc1944_761212699" </w:instrText>
      </w:r>
      <w:r>
        <w:fldChar w:fldCharType="separate"/>
      </w:r>
      <w:r>
        <w:t>6.2. ANALISI DEL RISCHIO</w:t>
      </w:r>
      <w:r>
        <w:tab/>
      </w:r>
      <w:r w:rsidR="00AC7BAD">
        <w:t>20</w:t>
      </w:r>
      <w:r>
        <w:fldChar w:fldCharType="end"/>
      </w:r>
    </w:p>
    <w:p w:rsidR="00582DE2" w:rsidRDefault="002B2E53" w:rsidP="00582DE2">
      <w:pPr>
        <w:pStyle w:val="Contents1"/>
        <w:tabs>
          <w:tab w:val="right" w:leader="dot" w:pos="9922"/>
        </w:tabs>
      </w:pPr>
      <w:hyperlink w:anchor="__RefHeading___Toc1954_761212699" w:history="1">
        <w:r w:rsidR="00582DE2">
          <w:t>7. TRATTAMENTO DEL RISCHIO</w:t>
        </w:r>
        <w:r w:rsidR="00582DE2">
          <w:tab/>
          <w:t>2</w:t>
        </w:r>
      </w:hyperlink>
      <w:r w:rsidR="00AC7BAD">
        <w:t>5</w:t>
      </w:r>
    </w:p>
    <w:p w:rsidR="00582DE2" w:rsidRDefault="002B2E53" w:rsidP="00582DE2">
      <w:pPr>
        <w:pStyle w:val="Contents1"/>
        <w:tabs>
          <w:tab w:val="right" w:leader="dot" w:pos="9922"/>
        </w:tabs>
      </w:pPr>
      <w:hyperlink w:anchor="__RefHeading___Toc1968_761212699" w:history="1">
        <w:r w:rsidR="00582DE2">
          <w:t>8. LE MISURE ORGANIZZATIVE DI CARATTERE GENERALE</w:t>
        </w:r>
        <w:r w:rsidR="00582DE2">
          <w:tab/>
          <w:t>2</w:t>
        </w:r>
      </w:hyperlink>
      <w:r w:rsidR="003B0951">
        <w:t>6</w:t>
      </w:r>
    </w:p>
    <w:p w:rsidR="00582DE2" w:rsidRDefault="002B2E53" w:rsidP="00582DE2">
      <w:pPr>
        <w:pStyle w:val="Contents2"/>
        <w:tabs>
          <w:tab w:val="right" w:leader="dot" w:pos="10347"/>
        </w:tabs>
      </w:pPr>
      <w:hyperlink w:anchor="__RefHeading___Toc1970_761212699" w:history="1">
        <w:r w:rsidR="00582DE2">
          <w:t>8.1. FORMAZIONE</w:t>
        </w:r>
        <w:r w:rsidR="00582DE2">
          <w:tab/>
          <w:t>2</w:t>
        </w:r>
      </w:hyperlink>
      <w:r w:rsidR="003B0951">
        <w:t>6</w:t>
      </w:r>
    </w:p>
    <w:p w:rsidR="00582DE2" w:rsidRDefault="002B2E53" w:rsidP="00582DE2">
      <w:pPr>
        <w:pStyle w:val="Contents2"/>
        <w:tabs>
          <w:tab w:val="right" w:leader="dot" w:pos="10347"/>
        </w:tabs>
      </w:pPr>
      <w:hyperlink w:anchor="__RefHeading___Toc1972_761212699" w:history="1">
        <w:r w:rsidR="00582DE2">
          <w:t>8.2. CONTROLLI INTERNI</w:t>
        </w:r>
        <w:r w:rsidR="00582DE2">
          <w:tab/>
          <w:t>2</w:t>
        </w:r>
      </w:hyperlink>
      <w:r w:rsidR="00642A4B">
        <w:t>7</w:t>
      </w:r>
    </w:p>
    <w:p w:rsidR="00582DE2" w:rsidRDefault="002B2E53" w:rsidP="00582DE2">
      <w:pPr>
        <w:pStyle w:val="Contents2"/>
        <w:tabs>
          <w:tab w:val="right" w:leader="dot" w:pos="10347"/>
        </w:tabs>
      </w:pPr>
      <w:hyperlink w:anchor="__RefHeading___Toc1974_761212699" w:history="1">
        <w:r w:rsidR="00582DE2">
          <w:t>8.3. ROTAZIONE ORDINARIA DEL PERSONALE</w:t>
        </w:r>
        <w:r w:rsidR="00582DE2">
          <w:tab/>
          <w:t>2</w:t>
        </w:r>
      </w:hyperlink>
      <w:r w:rsidR="005C0759">
        <w:t>7</w:t>
      </w:r>
    </w:p>
    <w:p w:rsidR="00582DE2" w:rsidRDefault="002B2E53" w:rsidP="00582DE2">
      <w:pPr>
        <w:pStyle w:val="Contents2"/>
        <w:tabs>
          <w:tab w:val="right" w:leader="dot" w:pos="10347"/>
        </w:tabs>
      </w:pPr>
      <w:hyperlink w:anchor="__RefHeading___Toc1976_761212699" w:history="1">
        <w:r w:rsidR="00582DE2">
          <w:t>8.4. ROTAZIONE STRAODINARIA DEL PERSONALE</w:t>
        </w:r>
        <w:r w:rsidR="00582DE2">
          <w:tab/>
          <w:t>2</w:t>
        </w:r>
      </w:hyperlink>
      <w:r w:rsidR="00642A4B">
        <w:t>8</w:t>
      </w:r>
    </w:p>
    <w:p w:rsidR="00582DE2" w:rsidRDefault="002B2E53" w:rsidP="00582DE2">
      <w:pPr>
        <w:pStyle w:val="Contents2"/>
        <w:tabs>
          <w:tab w:val="right" w:leader="dot" w:pos="10347"/>
        </w:tabs>
      </w:pPr>
      <w:hyperlink w:anchor="__RefHeading___Toc1978_761212699" w:history="1">
        <w:r w:rsidR="00582DE2">
          <w:t>8.5. TRASPARENZA</w:t>
        </w:r>
        <w:r w:rsidR="00582DE2">
          <w:tab/>
          <w:t>2</w:t>
        </w:r>
      </w:hyperlink>
      <w:r w:rsidR="00542A45">
        <w:t>9</w:t>
      </w:r>
    </w:p>
    <w:p w:rsidR="00582DE2" w:rsidRDefault="002B2E53" w:rsidP="00582DE2">
      <w:pPr>
        <w:pStyle w:val="Contents2"/>
        <w:tabs>
          <w:tab w:val="right" w:leader="dot" w:pos="10347"/>
        </w:tabs>
      </w:pPr>
      <w:hyperlink w:anchor="__RefHeading___Toc1980_761212699" w:history="1">
        <w:r w:rsidR="00582DE2">
          <w:t>8.6. TUTELA DEL DIPENDENTE CHE SEGNALA ILLECITI (WHISTLEBLOWER)</w:t>
        </w:r>
        <w:r w:rsidR="00582DE2">
          <w:tab/>
        </w:r>
        <w:r w:rsidR="005C0759">
          <w:t>30</w:t>
        </w:r>
      </w:hyperlink>
    </w:p>
    <w:p w:rsidR="00582DE2" w:rsidRDefault="002B2E53" w:rsidP="00582DE2">
      <w:pPr>
        <w:pStyle w:val="Contents2"/>
        <w:tabs>
          <w:tab w:val="right" w:leader="dot" w:pos="10347"/>
        </w:tabs>
      </w:pPr>
      <w:hyperlink w:anchor="__RefHeading___Toc1982_761212699" w:history="1">
        <w:r w:rsidR="00582DE2">
          <w:t>8.7. IL CODICE DI COMPORTAMENTO</w:t>
        </w:r>
        <w:r w:rsidR="00582DE2">
          <w:tab/>
        </w:r>
        <w:r w:rsidR="00257A14">
          <w:t>30</w:t>
        </w:r>
      </w:hyperlink>
    </w:p>
    <w:p w:rsidR="00582DE2" w:rsidRDefault="002B2E53" w:rsidP="00582DE2">
      <w:pPr>
        <w:pStyle w:val="Contents2"/>
        <w:tabs>
          <w:tab w:val="right" w:leader="dot" w:pos="10347"/>
        </w:tabs>
      </w:pPr>
      <w:hyperlink w:anchor="__RefHeading___Toc1984_761212699" w:history="1">
        <w:r w:rsidR="00582DE2">
          <w:t>8.8. INCARICHI EXTRAISTITUZIONALI</w:t>
        </w:r>
        <w:r w:rsidR="00582DE2">
          <w:tab/>
        </w:r>
      </w:hyperlink>
      <w:r w:rsidR="001C4B8F">
        <w:t>3</w:t>
      </w:r>
      <w:r w:rsidR="00FA7ADE">
        <w:t>0</w:t>
      </w:r>
    </w:p>
    <w:p w:rsidR="00582DE2" w:rsidRDefault="002B2E53" w:rsidP="00582DE2">
      <w:pPr>
        <w:pStyle w:val="Contents2"/>
        <w:tabs>
          <w:tab w:val="right" w:leader="dot" w:pos="10347"/>
        </w:tabs>
      </w:pPr>
      <w:hyperlink w:anchor="__RefHeading___Toc1984_761212699" w:history="1">
        <w:r w:rsidR="00582DE2">
          <w:t>8.9. COINVOLGIMENTO DEGLI STAKEHOLDER: ASCOLTO E DIALOGO CON IL TERRITORIO</w:t>
        </w:r>
        <w:r w:rsidR="00582DE2">
          <w:tab/>
        </w:r>
      </w:hyperlink>
      <w:r w:rsidR="001C4B8F">
        <w:t>3</w:t>
      </w:r>
      <w:r w:rsidR="00257A14">
        <w:t>1</w:t>
      </w:r>
    </w:p>
    <w:p w:rsidR="00582DE2" w:rsidRDefault="002B2E53" w:rsidP="00582DE2">
      <w:pPr>
        <w:pStyle w:val="Contents2"/>
        <w:tabs>
          <w:tab w:val="right" w:leader="dot" w:pos="10347"/>
        </w:tabs>
      </w:pPr>
      <w:hyperlink w:anchor="__RefHeading___Toc1984_761212699" w:history="1">
        <w:r w:rsidR="00582DE2">
          <w:t>8.10. RISPETTO DELLA NORMATIVA SULLA SCELTA DEL CONTRAENTE</w:t>
        </w:r>
        <w:r w:rsidR="00582DE2">
          <w:tab/>
        </w:r>
      </w:hyperlink>
      <w:r w:rsidR="001C4B8F">
        <w:t>31</w:t>
      </w:r>
    </w:p>
    <w:bookmarkStart w:id="9" w:name="_Hlk63339821"/>
    <w:p w:rsidR="00582DE2" w:rsidRDefault="00582DE2" w:rsidP="00582DE2">
      <w:pPr>
        <w:pStyle w:val="Contents2"/>
        <w:tabs>
          <w:tab w:val="right" w:leader="dot" w:pos="10347"/>
        </w:tabs>
      </w:pPr>
      <w:r>
        <w:fldChar w:fldCharType="begin"/>
      </w:r>
      <w:r>
        <w:instrText xml:space="preserve"> HYPERLINK  "#__RefHeading___Toc1984_761212699" </w:instrText>
      </w:r>
      <w:r>
        <w:fldChar w:fldCharType="separate"/>
      </w:r>
      <w:r>
        <w:t>8.11. RISPETTO DELLA NORMATIVA SULLA PIANIFICAZIONE TERRITORIALE</w:t>
      </w:r>
      <w:r>
        <w:tab/>
      </w:r>
      <w:r>
        <w:fldChar w:fldCharType="end"/>
      </w:r>
      <w:r w:rsidR="001C4B8F">
        <w:t>3</w:t>
      </w:r>
      <w:r w:rsidR="00FA7ADE">
        <w:t>1</w:t>
      </w:r>
    </w:p>
    <w:bookmarkEnd w:id="9"/>
    <w:p w:rsidR="00582DE2" w:rsidRDefault="00582DE2" w:rsidP="00582DE2">
      <w:pPr>
        <w:pStyle w:val="Contents2"/>
        <w:tabs>
          <w:tab w:val="right" w:leader="dot" w:pos="10347"/>
        </w:tabs>
      </w:pPr>
      <w:r>
        <w:fldChar w:fldCharType="begin"/>
      </w:r>
      <w:r>
        <w:instrText xml:space="preserve"> HYPERLINK  "#__RefHeading___Toc1984_761212699" </w:instrText>
      </w:r>
      <w:r>
        <w:fldChar w:fldCharType="separate"/>
      </w:r>
      <w:r>
        <w:t>8.12. OBBLIGO DI ASTENSIONE IN CASO DI CONFLITTO DI INTERESSI</w:t>
      </w:r>
      <w:r>
        <w:tab/>
      </w:r>
      <w:r>
        <w:fldChar w:fldCharType="end"/>
      </w:r>
      <w:r w:rsidR="001C4B8F">
        <w:t>3</w:t>
      </w:r>
      <w:r w:rsidR="00FA7ADE">
        <w:t>1</w:t>
      </w:r>
    </w:p>
    <w:p w:rsidR="00582DE2" w:rsidRDefault="002B2E53" w:rsidP="00582DE2">
      <w:pPr>
        <w:pStyle w:val="Contents2"/>
        <w:tabs>
          <w:tab w:val="right" w:leader="dot" w:pos="10347"/>
        </w:tabs>
      </w:pPr>
      <w:hyperlink w:anchor="__RefHeading___Toc1984_761212699" w:history="1">
        <w:r w:rsidR="00582DE2">
          <w:t>8.13. INCONFERIBILITA’ ED INCOMPATIBILITA’</w:t>
        </w:r>
        <w:r w:rsidR="00582DE2">
          <w:tab/>
        </w:r>
      </w:hyperlink>
      <w:r w:rsidR="001C4B8F">
        <w:t>3</w:t>
      </w:r>
      <w:r w:rsidR="00CE4736">
        <w:t>2</w:t>
      </w:r>
    </w:p>
    <w:p w:rsidR="00582DE2" w:rsidRDefault="002B2E53" w:rsidP="00582DE2">
      <w:pPr>
        <w:pStyle w:val="Contents2"/>
        <w:tabs>
          <w:tab w:val="right" w:leader="dot" w:pos="10347"/>
        </w:tabs>
      </w:pPr>
      <w:hyperlink w:anchor="__RefHeading___Toc1984_761212699" w:history="1">
        <w:r w:rsidR="00582DE2">
          <w:t>8.14. IL PANTOUFLAGE</w:t>
        </w:r>
        <w:r w:rsidR="00582DE2">
          <w:tab/>
        </w:r>
        <w:r w:rsidR="001C4B8F">
          <w:t>3</w:t>
        </w:r>
        <w:r w:rsidR="00FA7ADE">
          <w:t>2</w:t>
        </w:r>
      </w:hyperlink>
    </w:p>
    <w:p w:rsidR="00582DE2" w:rsidRDefault="002B2E53" w:rsidP="00582DE2">
      <w:pPr>
        <w:pStyle w:val="Contents1"/>
        <w:tabs>
          <w:tab w:val="right" w:leader="dot" w:pos="9922"/>
        </w:tabs>
      </w:pPr>
      <w:hyperlink w:anchor="__RefHeading___Toc1986_761212699" w:history="1">
        <w:r w:rsidR="00582DE2">
          <w:t>9. MONITORAGGIO E AGGIORNAMENTO DEL PIANO</w:t>
        </w:r>
        <w:r w:rsidR="00582DE2">
          <w:tab/>
          <w:t>3</w:t>
        </w:r>
      </w:hyperlink>
      <w:r w:rsidR="00CE4736">
        <w:t>3</w:t>
      </w:r>
    </w:p>
    <w:p w:rsidR="00582DE2" w:rsidRDefault="002B2E53" w:rsidP="00582DE2">
      <w:pPr>
        <w:pStyle w:val="Contents1"/>
        <w:tabs>
          <w:tab w:val="right" w:leader="dot" w:pos="9922"/>
        </w:tabs>
      </w:pPr>
      <w:hyperlink w:anchor="__RefHeading___Toc1996_761212699" w:history="1">
        <w:r w:rsidR="00582DE2">
          <w:t>APPENDICE NORMATIVA</w:t>
        </w:r>
        <w:r w:rsidR="00582DE2">
          <w:tab/>
        </w:r>
      </w:hyperlink>
      <w:r w:rsidR="00582DE2">
        <w:t>3</w:t>
      </w:r>
      <w:r w:rsidR="00CE4736">
        <w:t>5</w:t>
      </w:r>
    </w:p>
    <w:p w:rsidR="00582DE2" w:rsidRDefault="00582DE2" w:rsidP="00582DE2">
      <w:pPr>
        <w:pStyle w:val="Standard"/>
        <w:spacing w:before="80" w:after="120" w:line="240" w:lineRule="auto"/>
      </w:pPr>
      <w:r>
        <w:rPr>
          <w:rFonts w:ascii="Arial" w:eastAsia="Arial" w:hAnsi="Arial" w:cs="Arial"/>
          <w:b/>
          <w:caps/>
        </w:rPr>
        <w:fldChar w:fldCharType="end"/>
      </w:r>
    </w:p>
    <w:p w:rsidR="00582DE2" w:rsidRDefault="00582DE2" w:rsidP="00582DE2">
      <w:pPr>
        <w:keepNext/>
        <w:pageBreakBefore/>
        <w:spacing w:before="240" w:after="60" w:line="276" w:lineRule="auto"/>
      </w:pPr>
      <w:bookmarkStart w:id="10" w:name="__RefHeading___Toc1938_761212699"/>
      <w:r>
        <w:rPr>
          <w:rFonts w:ascii="Calibri" w:hAnsi="Calibri"/>
          <w:b/>
        </w:rPr>
        <w:lastRenderedPageBreak/>
        <w:t>PREMESSA</w:t>
      </w:r>
      <w:bookmarkEnd w:id="10"/>
    </w:p>
    <w:p w:rsidR="00847862" w:rsidRPr="00847862" w:rsidRDefault="00847862" w:rsidP="00847862">
      <w:pPr>
        <w:spacing w:before="100"/>
        <w:jc w:val="both"/>
        <w:rPr>
          <w:rFonts w:ascii="Arial" w:eastAsia="Calibri" w:hAnsi="Arial" w:cs="Arial"/>
          <w:sz w:val="21"/>
          <w:szCs w:val="21"/>
          <w:lang w:eastAsia="en-US"/>
        </w:rPr>
      </w:pPr>
      <w:r w:rsidRPr="00847862">
        <w:rPr>
          <w:rFonts w:ascii="Arial" w:eastAsia="Calibri" w:hAnsi="Arial" w:cs="Arial"/>
          <w:sz w:val="21"/>
          <w:szCs w:val="21"/>
          <w:lang w:eastAsia="en-US"/>
        </w:rPr>
        <w:t>In via preliminare, appare necessario segnalare che:</w:t>
      </w:r>
    </w:p>
    <w:p w:rsidR="00847862" w:rsidRPr="00847862" w:rsidRDefault="00847862" w:rsidP="00847862">
      <w:pPr>
        <w:spacing w:before="100"/>
        <w:jc w:val="both"/>
        <w:rPr>
          <w:rFonts w:ascii="Arial" w:eastAsia="Calibri" w:hAnsi="Arial" w:cs="Arial"/>
          <w:sz w:val="21"/>
          <w:szCs w:val="21"/>
          <w:lang w:eastAsia="en-US"/>
        </w:rPr>
      </w:pPr>
      <w:r w:rsidRPr="00847862">
        <w:rPr>
          <w:rFonts w:ascii="Arial" w:eastAsia="Calibri" w:hAnsi="Arial" w:cs="Arial"/>
          <w:sz w:val="21"/>
          <w:szCs w:val="21"/>
          <w:lang w:eastAsia="en-US"/>
        </w:rPr>
        <w:t>-</w:t>
      </w:r>
      <w:r w:rsidRPr="00847862">
        <w:rPr>
          <w:rFonts w:ascii="Arial" w:eastAsia="Calibri" w:hAnsi="Arial" w:cs="Arial"/>
          <w:sz w:val="21"/>
          <w:szCs w:val="21"/>
          <w:lang w:eastAsia="en-US"/>
        </w:rPr>
        <w:tab/>
        <w:t>il D.L. 80/2021 convertito, con modificazioni, in Legge 6 agosto 2021 n.113 all’articolo 6 ha previsto che le pubbliche amministrazioni con più di 50 dipendenti adottino, entro il 31 gennaio di ogni anno, il Piano Integrato di Attività e Organizzazione (PIAO), con l’obiettivo di assorbire molti degli atti di pianificazione cui sono tenute le amministrazioni, tra cui il Piano Triennale di Prevenzione della Corruzione e Trasparenza;</w:t>
      </w:r>
    </w:p>
    <w:p w:rsidR="00847862" w:rsidRPr="00847862" w:rsidRDefault="00847862" w:rsidP="00847862">
      <w:pPr>
        <w:spacing w:before="100"/>
        <w:jc w:val="both"/>
        <w:rPr>
          <w:rFonts w:ascii="Arial" w:eastAsia="Calibri" w:hAnsi="Arial" w:cs="Arial"/>
          <w:sz w:val="21"/>
          <w:szCs w:val="21"/>
          <w:lang w:eastAsia="en-US"/>
        </w:rPr>
      </w:pPr>
      <w:r w:rsidRPr="00847862">
        <w:rPr>
          <w:rFonts w:ascii="Arial" w:eastAsia="Calibri" w:hAnsi="Arial" w:cs="Arial"/>
          <w:sz w:val="21"/>
          <w:szCs w:val="21"/>
          <w:lang w:eastAsia="en-US"/>
        </w:rPr>
        <w:t>-</w:t>
      </w:r>
      <w:r w:rsidRPr="00847862">
        <w:rPr>
          <w:rFonts w:ascii="Arial" w:eastAsia="Calibri" w:hAnsi="Arial" w:cs="Arial"/>
          <w:sz w:val="21"/>
          <w:szCs w:val="21"/>
          <w:lang w:eastAsia="en-US"/>
        </w:rPr>
        <w:tab/>
        <w:t>il D.L. 80 prevede l’approvazione, entro 120 giorni dall’entrata in vigore, di uno o più D.P.R. di abrogazione degli adempimenti relativi ai piani assorbiti dal PIAO; entro il medesimo termine, il Dipartimento della funzione pubblica della Presidenza del Consiglio dei Ministri, avrebbe dovuto adottare un Piano tipo, quale strumento di supporto alle amministrazioni;</w:t>
      </w:r>
    </w:p>
    <w:p w:rsidR="00847862" w:rsidRPr="00847862" w:rsidRDefault="00847862" w:rsidP="00847862">
      <w:pPr>
        <w:spacing w:before="100"/>
        <w:jc w:val="both"/>
        <w:rPr>
          <w:rFonts w:ascii="Arial" w:eastAsia="Calibri" w:hAnsi="Arial" w:cs="Arial"/>
          <w:sz w:val="21"/>
          <w:szCs w:val="21"/>
          <w:lang w:eastAsia="en-US"/>
        </w:rPr>
      </w:pPr>
      <w:r w:rsidRPr="00847862">
        <w:rPr>
          <w:rFonts w:ascii="Arial" w:eastAsia="Calibri" w:hAnsi="Arial" w:cs="Arial"/>
          <w:sz w:val="21"/>
          <w:szCs w:val="21"/>
          <w:lang w:eastAsia="en-US"/>
        </w:rPr>
        <w:t>-</w:t>
      </w:r>
      <w:r w:rsidRPr="00847862">
        <w:rPr>
          <w:rFonts w:ascii="Arial" w:eastAsia="Calibri" w:hAnsi="Arial" w:cs="Arial"/>
          <w:sz w:val="21"/>
          <w:szCs w:val="21"/>
          <w:lang w:eastAsia="en-US"/>
        </w:rPr>
        <w:tab/>
        <w:t>il D.L. 228 del 30/12/2021 “Disposizioni urgenti in materia di termini legislativi” (noto come “Mille proroghe”) ha fissato al 31 marzo 2022 tale previsione normativa e fissato al 30 aprile 2022 il termine per la prima adozione del PIAO (ovvero entro 120 giorni dall’approvazione del bilancio di previsione per gli Enti Locali);</w:t>
      </w:r>
    </w:p>
    <w:p w:rsidR="00847862" w:rsidRPr="00847862" w:rsidRDefault="00847862" w:rsidP="00847862">
      <w:pPr>
        <w:spacing w:before="100"/>
        <w:jc w:val="both"/>
        <w:rPr>
          <w:rFonts w:ascii="Arial" w:eastAsia="Calibri" w:hAnsi="Arial" w:cs="Arial"/>
          <w:sz w:val="21"/>
          <w:szCs w:val="21"/>
          <w:lang w:eastAsia="en-US"/>
        </w:rPr>
      </w:pPr>
      <w:r w:rsidRPr="00847862">
        <w:rPr>
          <w:rFonts w:ascii="Arial" w:eastAsia="Calibri" w:hAnsi="Arial" w:cs="Arial"/>
          <w:sz w:val="21"/>
          <w:szCs w:val="21"/>
          <w:lang w:eastAsia="en-US"/>
        </w:rPr>
        <w:t>-</w:t>
      </w:r>
      <w:r w:rsidRPr="00847862">
        <w:rPr>
          <w:rFonts w:ascii="Arial" w:eastAsia="Calibri" w:hAnsi="Arial" w:cs="Arial"/>
          <w:sz w:val="21"/>
          <w:szCs w:val="21"/>
          <w:lang w:eastAsia="en-US"/>
        </w:rPr>
        <w:tab/>
        <w:t>pertanto in base alla normativa ad oggi vigente, gli adempimenti a carico degli Enti Locali sono ancora quelli definiti dalla Legge n. 190/2012 sopra richiamati;</w:t>
      </w:r>
    </w:p>
    <w:p w:rsidR="00847862" w:rsidRPr="00847862" w:rsidRDefault="00847862" w:rsidP="00847862">
      <w:pPr>
        <w:spacing w:before="100"/>
        <w:jc w:val="both"/>
        <w:rPr>
          <w:rFonts w:ascii="Arial" w:eastAsia="Calibri" w:hAnsi="Arial" w:cs="Arial"/>
          <w:sz w:val="21"/>
          <w:szCs w:val="21"/>
          <w:lang w:eastAsia="en-US"/>
        </w:rPr>
      </w:pPr>
      <w:r w:rsidRPr="00847862">
        <w:rPr>
          <w:rFonts w:ascii="Arial" w:eastAsia="Calibri" w:hAnsi="Arial" w:cs="Arial"/>
          <w:sz w:val="21"/>
          <w:szCs w:val="21"/>
          <w:lang w:eastAsia="en-US"/>
        </w:rPr>
        <w:t>-</w:t>
      </w:r>
      <w:r w:rsidRPr="00847862">
        <w:rPr>
          <w:rFonts w:ascii="Arial" w:eastAsia="Calibri" w:hAnsi="Arial" w:cs="Arial"/>
          <w:sz w:val="21"/>
          <w:szCs w:val="21"/>
          <w:lang w:eastAsia="en-US"/>
        </w:rPr>
        <w:tab/>
        <w:t>con gli Orientamenti per la pianificazione anticorruzione e trasparenza, approvati dal Consiglio dell’Autorità anticorruzione in data 2 febbraio 2022, ANAC ha voluto dare delle indicazioni, in termini di semplificazione, per la redazione dei Piani anticorruzione anche nell’ottica della futura redazione del PIAO;</w:t>
      </w:r>
    </w:p>
    <w:p w:rsidR="00847862" w:rsidRPr="00847862" w:rsidRDefault="00847862" w:rsidP="00847862">
      <w:pPr>
        <w:spacing w:before="100"/>
        <w:jc w:val="both"/>
        <w:rPr>
          <w:rFonts w:ascii="Arial" w:eastAsia="Calibri" w:hAnsi="Arial" w:cs="Arial"/>
          <w:sz w:val="21"/>
          <w:szCs w:val="21"/>
          <w:lang w:eastAsia="en-US"/>
        </w:rPr>
      </w:pPr>
      <w:r w:rsidRPr="00847862">
        <w:rPr>
          <w:rFonts w:ascii="Arial" w:eastAsia="Calibri" w:hAnsi="Arial" w:cs="Arial"/>
          <w:sz w:val="21"/>
          <w:szCs w:val="21"/>
          <w:lang w:eastAsia="en-US"/>
        </w:rPr>
        <w:t>-</w:t>
      </w:r>
      <w:r w:rsidRPr="00847862">
        <w:rPr>
          <w:rFonts w:ascii="Arial" w:eastAsia="Calibri" w:hAnsi="Arial" w:cs="Arial"/>
          <w:sz w:val="21"/>
          <w:szCs w:val="21"/>
          <w:lang w:eastAsia="en-US"/>
        </w:rPr>
        <w:tab/>
        <w:t>i decreti attuativi, previsti dalla normativa (art. 6 del DL 80/2021) che ha introdotto il PIAO, dovevano essere adottati entro il 31 marzo 2022, ma allo stato attuale non è resa nota la data di effettiva adozione;</w:t>
      </w:r>
    </w:p>
    <w:p w:rsidR="00847862" w:rsidRPr="00847862" w:rsidRDefault="00847862" w:rsidP="00847862">
      <w:pPr>
        <w:spacing w:before="100"/>
        <w:jc w:val="both"/>
        <w:rPr>
          <w:rFonts w:ascii="Arial" w:eastAsia="Calibri" w:hAnsi="Arial" w:cs="Arial"/>
          <w:sz w:val="21"/>
          <w:szCs w:val="21"/>
          <w:lang w:eastAsia="en-US"/>
        </w:rPr>
      </w:pPr>
      <w:r w:rsidRPr="00847862">
        <w:rPr>
          <w:rFonts w:ascii="Arial" w:eastAsia="Calibri" w:hAnsi="Arial" w:cs="Arial"/>
          <w:sz w:val="21"/>
          <w:szCs w:val="21"/>
          <w:lang w:eastAsia="en-US"/>
        </w:rPr>
        <w:t>-</w:t>
      </w:r>
      <w:r w:rsidRPr="00847862">
        <w:rPr>
          <w:rFonts w:ascii="Arial" w:eastAsia="Calibri" w:hAnsi="Arial" w:cs="Arial"/>
          <w:sz w:val="21"/>
          <w:szCs w:val="21"/>
          <w:lang w:eastAsia="en-US"/>
        </w:rPr>
        <w:tab/>
        <w:t>il Consiglio di Stato, sezione consultiva per gli atti normativi, il quale con parere n. 506 del 2 marzo 2022, di fatto, rinvia a una nuova stesura dei suddetti decreti, censurandone il metodo e i contenuti, non si hanno ad oggi elementi certi per definire i tempi (e i modi) di adozione del PIAO;</w:t>
      </w:r>
    </w:p>
    <w:p w:rsidR="00847862" w:rsidRPr="00847862" w:rsidRDefault="00847862" w:rsidP="00847862">
      <w:pPr>
        <w:spacing w:before="100"/>
        <w:jc w:val="both"/>
        <w:rPr>
          <w:rFonts w:ascii="Arial" w:eastAsia="Calibri" w:hAnsi="Arial" w:cs="Arial"/>
          <w:sz w:val="21"/>
          <w:szCs w:val="21"/>
          <w:lang w:eastAsia="en-US"/>
        </w:rPr>
      </w:pPr>
      <w:r w:rsidRPr="00847862">
        <w:rPr>
          <w:rFonts w:ascii="Arial" w:eastAsia="Calibri" w:hAnsi="Arial" w:cs="Arial"/>
          <w:sz w:val="21"/>
          <w:szCs w:val="21"/>
          <w:lang w:eastAsia="en-US"/>
        </w:rPr>
        <w:t>–</w:t>
      </w:r>
      <w:r w:rsidRPr="00847862">
        <w:rPr>
          <w:rFonts w:ascii="Arial" w:eastAsia="Calibri" w:hAnsi="Arial" w:cs="Arial"/>
          <w:sz w:val="21"/>
          <w:szCs w:val="21"/>
          <w:lang w:eastAsia="en-US"/>
        </w:rPr>
        <w:tab/>
        <w:t>che comunque permane attuale l’obbligo di adozione del PTPCT entro il 30 aprile, come da comunicato ANAC del mese di gennaio scorso, per il quale appunto ANAC ha emanato le indicazioni orientative in oggetto;</w:t>
      </w:r>
    </w:p>
    <w:p w:rsidR="00F756BB" w:rsidRPr="00F756BB" w:rsidRDefault="00847862" w:rsidP="00847862">
      <w:pPr>
        <w:spacing w:before="100"/>
        <w:jc w:val="both"/>
        <w:rPr>
          <w:rFonts w:ascii="Arial" w:eastAsia="Calibri" w:hAnsi="Arial" w:cs="Arial"/>
          <w:b/>
          <w:sz w:val="21"/>
          <w:szCs w:val="21"/>
          <w:lang w:eastAsia="en-US"/>
        </w:rPr>
      </w:pPr>
      <w:r w:rsidRPr="00F756BB">
        <w:rPr>
          <w:rFonts w:ascii="Arial" w:eastAsia="Calibri" w:hAnsi="Arial" w:cs="Arial"/>
          <w:b/>
          <w:sz w:val="21"/>
          <w:szCs w:val="21"/>
          <w:lang w:eastAsia="en-US"/>
        </w:rPr>
        <w:t>–</w:t>
      </w:r>
      <w:r w:rsidRPr="00F756BB">
        <w:rPr>
          <w:rFonts w:ascii="Arial" w:eastAsia="Calibri" w:hAnsi="Arial" w:cs="Arial"/>
          <w:b/>
          <w:sz w:val="21"/>
          <w:szCs w:val="21"/>
          <w:lang w:eastAsia="en-US"/>
        </w:rPr>
        <w:tab/>
        <w:t>tutto ciò premesso, il presente PTPCT 2022-2024 è un Piano di transizione, in attesa di indicazioni normative puntuali che orientino le pubbliche amministrazioni.</w:t>
      </w:r>
    </w:p>
    <w:p w:rsidR="00582DE2" w:rsidRDefault="00582DE2" w:rsidP="00847862">
      <w:pPr>
        <w:spacing w:before="100"/>
        <w:jc w:val="both"/>
        <w:rPr>
          <w:rFonts w:ascii="Arial" w:eastAsia="Calibri" w:hAnsi="Arial" w:cs="Arial"/>
          <w:sz w:val="21"/>
          <w:szCs w:val="21"/>
          <w:lang w:eastAsia="en-US"/>
        </w:rPr>
      </w:pPr>
      <w:r>
        <w:rPr>
          <w:rFonts w:ascii="Arial" w:eastAsia="Calibri" w:hAnsi="Arial" w:cs="Arial"/>
          <w:sz w:val="21"/>
          <w:szCs w:val="21"/>
          <w:lang w:eastAsia="en-US"/>
        </w:rPr>
        <w:t>Le norme anticorruzione nella Pubblica amministrazione (P.A.) prevedono misure di prevenzione che ricadono in modo notevole e incisivo sull’organizzazione e sui rapporti di lavoro di tutte le amministrazioni pubbliche e degli enti territoriali.</w:t>
      </w:r>
    </w:p>
    <w:p w:rsidR="00582DE2" w:rsidRDefault="00582DE2" w:rsidP="00582DE2">
      <w:pPr>
        <w:spacing w:before="100"/>
        <w:jc w:val="both"/>
      </w:pPr>
      <w:r>
        <w:rPr>
          <w:rFonts w:ascii="Arial" w:eastAsia="Calibri" w:hAnsi="Arial" w:cs="Arial"/>
          <w:sz w:val="21"/>
          <w:szCs w:val="21"/>
          <w:lang w:eastAsia="en-US"/>
        </w:rPr>
        <w:t xml:space="preserve">I temi </w:t>
      </w:r>
      <w:r>
        <w:rPr>
          <w:rFonts w:ascii="Arial" w:eastAsia="Calibri" w:hAnsi="Arial" w:cs="Arial"/>
          <w:bCs/>
          <w:sz w:val="21"/>
          <w:szCs w:val="21"/>
          <w:lang w:eastAsia="en-US"/>
        </w:rPr>
        <w:t>della</w:t>
      </w:r>
      <w:r>
        <w:rPr>
          <w:rFonts w:ascii="Arial" w:eastAsia="Calibri" w:hAnsi="Arial" w:cs="Arial"/>
          <w:b/>
          <w:bCs/>
          <w:sz w:val="21"/>
          <w:szCs w:val="21"/>
          <w:lang w:eastAsia="en-US"/>
        </w:rPr>
        <w:t xml:space="preserve"> trasparenza </w:t>
      </w:r>
      <w:r>
        <w:rPr>
          <w:rFonts w:ascii="Arial" w:eastAsia="Calibri" w:hAnsi="Arial" w:cs="Arial"/>
          <w:bCs/>
          <w:sz w:val="21"/>
          <w:szCs w:val="21"/>
          <w:lang w:eastAsia="en-US"/>
        </w:rPr>
        <w:t>e</w:t>
      </w:r>
      <w:r>
        <w:rPr>
          <w:rFonts w:ascii="Arial" w:eastAsia="Calibri" w:hAnsi="Arial" w:cs="Arial"/>
          <w:b/>
          <w:bCs/>
          <w:sz w:val="21"/>
          <w:szCs w:val="21"/>
          <w:lang w:eastAsia="en-US"/>
        </w:rPr>
        <w:t xml:space="preserve"> </w:t>
      </w:r>
      <w:r>
        <w:rPr>
          <w:rFonts w:ascii="Arial" w:eastAsia="Calibri" w:hAnsi="Arial" w:cs="Arial"/>
          <w:sz w:val="21"/>
          <w:szCs w:val="21"/>
          <w:lang w:eastAsia="en-US"/>
        </w:rPr>
        <w:t xml:space="preserve">della </w:t>
      </w:r>
      <w:r>
        <w:rPr>
          <w:rFonts w:ascii="Arial" w:eastAsia="Calibri" w:hAnsi="Arial" w:cs="Arial"/>
          <w:b/>
          <w:bCs/>
          <w:sz w:val="21"/>
          <w:szCs w:val="21"/>
          <w:lang w:eastAsia="en-US"/>
        </w:rPr>
        <w:t>integrità dei comportamenti</w:t>
      </w:r>
      <w:r>
        <w:rPr>
          <w:rFonts w:ascii="Arial" w:eastAsia="Calibri" w:hAnsi="Arial" w:cs="Arial"/>
          <w:sz w:val="21"/>
          <w:szCs w:val="21"/>
          <w:lang w:eastAsia="en-US"/>
        </w:rPr>
        <w:t xml:space="preserve"> nella P.A. paiono sempre più urgenti, anche in relazione alle richieste della comunità internazionale (OCSE, Consiglio d’Europa, ecc.).</w:t>
      </w:r>
    </w:p>
    <w:p w:rsidR="00582DE2" w:rsidRDefault="00582DE2" w:rsidP="00582DE2">
      <w:pPr>
        <w:spacing w:before="100"/>
        <w:jc w:val="both"/>
      </w:pPr>
      <w:r>
        <w:rPr>
          <w:rFonts w:ascii="Arial" w:eastAsia="Calibri" w:hAnsi="Arial" w:cs="Arial"/>
          <w:sz w:val="21"/>
          <w:szCs w:val="21"/>
          <w:lang w:eastAsia="en-US"/>
        </w:rPr>
        <w:t xml:space="preserve">Nel 2012 la L. n. </w:t>
      </w:r>
      <w:r>
        <w:rPr>
          <w:rFonts w:ascii="Arial" w:eastAsia="Calibri" w:hAnsi="Arial" w:cs="Arial"/>
          <w:b/>
          <w:sz w:val="21"/>
          <w:szCs w:val="21"/>
          <w:lang w:eastAsia="en-US"/>
        </w:rPr>
        <w:t>190</w:t>
      </w:r>
      <w:r>
        <w:rPr>
          <w:rFonts w:ascii="Arial" w:eastAsia="Calibri" w:hAnsi="Arial" w:cs="Arial"/>
          <w:sz w:val="21"/>
          <w:szCs w:val="21"/>
          <w:lang w:eastAsia="en-US"/>
        </w:rPr>
        <w:t xml:space="preserve"> </w:t>
      </w:r>
      <w:r>
        <w:rPr>
          <w:rFonts w:ascii="Arial" w:eastAsia="Calibri" w:hAnsi="Arial" w:cs="Arial"/>
          <w:i/>
          <w:sz w:val="21"/>
          <w:szCs w:val="21"/>
          <w:lang w:eastAsia="en-US"/>
        </w:rPr>
        <w:t>(Disposizioni per la prevenzione e la repressione della corruzione e dell'illegalità nella Pubblica Amministrazione)</w:t>
      </w:r>
      <w:r>
        <w:rPr>
          <w:rFonts w:ascii="Arial" w:eastAsia="Calibri" w:hAnsi="Arial" w:cs="Arial"/>
          <w:b/>
          <w:bCs/>
          <w:sz w:val="21"/>
          <w:szCs w:val="21"/>
          <w:lang w:eastAsia="en-US"/>
        </w:rPr>
        <w:t xml:space="preserve"> </w:t>
      </w:r>
      <w:r>
        <w:rPr>
          <w:rFonts w:ascii="Arial" w:eastAsia="Calibri" w:hAnsi="Arial" w:cs="Arial"/>
          <w:sz w:val="21"/>
          <w:szCs w:val="21"/>
          <w:lang w:eastAsia="en-US"/>
        </w:rPr>
        <w:t xml:space="preserve">ha imposto che anche i Comuni si dotino di </w:t>
      </w:r>
      <w:r>
        <w:rPr>
          <w:rFonts w:ascii="Arial" w:eastAsia="Calibri" w:hAnsi="Arial" w:cs="Arial"/>
          <w:b/>
          <w:sz w:val="21"/>
          <w:szCs w:val="21"/>
          <w:lang w:eastAsia="en-US"/>
        </w:rPr>
        <w:t>Piani di prevenzione della corruzione</w:t>
      </w:r>
      <w:r>
        <w:rPr>
          <w:rFonts w:ascii="Arial" w:eastAsia="Calibri" w:hAnsi="Arial" w:cs="Arial"/>
          <w:sz w:val="21"/>
          <w:szCs w:val="21"/>
          <w:lang w:eastAsia="en-US"/>
        </w:rPr>
        <w:t>, strumenti atti a dimostrare come l’ente si sia organizzato per prevenire eventuali comportamenti non corretti da parte dei dipendenti. Obiettivo primario del Piano è quindi  quello di garantire nel tempo all’Amministrazione comunale, attraverso un sistema di controlli preventivi e di misure organizzative, il presidio del processo di monitoraggio e di verifica sull'integrità delle azioni e dei comportamenti del personale. Ciò consente da un lato la prevenzione dei rischi per danni all'immagine derivanti da comportamenti scorretti o illegali del personale, dall’altro di rendere il complesso delle azioni sviluppate efficace anche a presidio della corretta gestione dell’ente.</w:t>
      </w:r>
    </w:p>
    <w:p w:rsidR="00582DE2" w:rsidRDefault="00582DE2" w:rsidP="00582DE2">
      <w:pPr>
        <w:spacing w:before="100"/>
        <w:jc w:val="both"/>
        <w:rPr>
          <w:rFonts w:ascii="Arial" w:eastAsia="Calibri" w:hAnsi="Arial" w:cs="Arial"/>
          <w:sz w:val="21"/>
          <w:szCs w:val="21"/>
          <w:lang w:eastAsia="en-US"/>
        </w:rPr>
      </w:pPr>
      <w:r>
        <w:rPr>
          <w:rFonts w:ascii="Arial" w:eastAsia="Calibri" w:hAnsi="Arial" w:cs="Arial"/>
          <w:sz w:val="21"/>
          <w:szCs w:val="21"/>
          <w:lang w:eastAsia="en-US"/>
        </w:rPr>
        <w:t>Tale intervento legislativo mette a frutto il lavoro di analisi della Commissione di Studio su trasparenza e corruzione istituita dal Ministro per la Pubblica Amministrazione e la Semplificazione, e costituisce segnale forte di attenzione del Legislatore ai temi dell’integrità e della trasparenza dell’azione amministrativa a tutti i livelli, come presupposto per un corretto utilizzo delle pubbliche risorse.</w:t>
      </w:r>
    </w:p>
    <w:p w:rsidR="00582DE2" w:rsidRDefault="00582DE2" w:rsidP="00582DE2">
      <w:pPr>
        <w:spacing w:before="100"/>
        <w:jc w:val="both"/>
        <w:rPr>
          <w:rFonts w:ascii="Arial" w:eastAsia="Calibri" w:hAnsi="Arial" w:cs="Arial"/>
          <w:sz w:val="21"/>
          <w:szCs w:val="21"/>
          <w:lang w:eastAsia="en-US"/>
        </w:rPr>
      </w:pPr>
      <w:r>
        <w:rPr>
          <w:rFonts w:ascii="Arial" w:eastAsia="Calibri" w:hAnsi="Arial" w:cs="Arial"/>
          <w:sz w:val="21"/>
          <w:szCs w:val="21"/>
          <w:lang w:eastAsia="en-US"/>
        </w:rPr>
        <w:lastRenderedPageBreak/>
        <w:t>Con riferimento alla specificità dell’ordinamento dei comuni nella Regione Autonoma Trentino Alto Adige, la Legge n.190/2012 prevede, all’art. 1 comma 60, che entro centoventi giorni dalla data di entrata in vigore della stessa, siano raggiunte intese in sede di Conferenza unificata in merito agli specifici adempimenti degli enti locali, con l'indicazione dei relativi termini, nonché degli enti pubblici e dei soggetti di diritto privato sottoposti al loro controllo, volti alla piena e sollecita attuazione delle disposizioni dalla stessa legge previste</w:t>
      </w:r>
    </w:p>
    <w:p w:rsidR="00582DE2" w:rsidRDefault="00582DE2" w:rsidP="00582DE2">
      <w:pPr>
        <w:spacing w:before="100"/>
        <w:jc w:val="both"/>
        <w:rPr>
          <w:rFonts w:ascii="Arial" w:eastAsia="Calibri" w:hAnsi="Arial" w:cs="Arial"/>
          <w:sz w:val="21"/>
          <w:szCs w:val="21"/>
          <w:lang w:eastAsia="en-US"/>
        </w:rPr>
      </w:pPr>
      <w:r>
        <w:rPr>
          <w:rFonts w:ascii="Arial" w:eastAsia="Calibri" w:hAnsi="Arial" w:cs="Arial"/>
          <w:sz w:val="21"/>
          <w:szCs w:val="21"/>
          <w:lang w:eastAsia="en-US"/>
        </w:rPr>
        <w:t>In particolare con riguardo</w:t>
      </w:r>
    </w:p>
    <w:p w:rsidR="00582DE2" w:rsidRDefault="00582DE2" w:rsidP="00582DE2">
      <w:pPr>
        <w:spacing w:before="100"/>
        <w:jc w:val="both"/>
      </w:pPr>
      <w:r>
        <w:rPr>
          <w:rFonts w:ascii="Arial" w:eastAsia="Calibri" w:hAnsi="Arial" w:cs="Arial"/>
          <w:sz w:val="21"/>
          <w:szCs w:val="21"/>
          <w:lang w:eastAsia="en-US"/>
        </w:rPr>
        <w:t xml:space="preserve">a) alla definizione, da parte di ciascuna amministrazione, del </w:t>
      </w:r>
      <w:r>
        <w:rPr>
          <w:rFonts w:ascii="Arial" w:eastAsia="Calibri" w:hAnsi="Arial" w:cs="Arial"/>
          <w:sz w:val="21"/>
          <w:szCs w:val="21"/>
          <w:u w:val="single"/>
          <w:lang w:eastAsia="en-US"/>
        </w:rPr>
        <w:t>piano triennale di prevenzione</w:t>
      </w:r>
      <w:r>
        <w:rPr>
          <w:rFonts w:ascii="Arial" w:eastAsia="Calibri" w:hAnsi="Arial" w:cs="Arial"/>
          <w:sz w:val="21"/>
          <w:szCs w:val="21"/>
          <w:lang w:eastAsia="en-US"/>
        </w:rPr>
        <w:t xml:space="preserve"> della corruzione, a partire da quello relativo agli anni 2014-2016;</w:t>
      </w:r>
    </w:p>
    <w:p w:rsidR="00582DE2" w:rsidRDefault="00582DE2" w:rsidP="00582DE2">
      <w:pPr>
        <w:spacing w:before="100"/>
        <w:jc w:val="both"/>
      </w:pPr>
      <w:r>
        <w:rPr>
          <w:rFonts w:ascii="Arial" w:eastAsia="Calibri" w:hAnsi="Arial" w:cs="Arial"/>
          <w:sz w:val="21"/>
          <w:szCs w:val="21"/>
          <w:lang w:eastAsia="en-US"/>
        </w:rPr>
        <w:t xml:space="preserve">b) all'adozione, da parte di ciascuna amministrazione, di </w:t>
      </w:r>
      <w:r>
        <w:rPr>
          <w:rFonts w:ascii="Arial" w:eastAsia="Calibri" w:hAnsi="Arial" w:cs="Arial"/>
          <w:sz w:val="21"/>
          <w:szCs w:val="21"/>
          <w:u w:val="single"/>
          <w:lang w:eastAsia="en-US"/>
        </w:rPr>
        <w:t>norme regolamentari</w:t>
      </w:r>
      <w:r>
        <w:rPr>
          <w:rFonts w:ascii="Arial" w:eastAsia="Calibri" w:hAnsi="Arial" w:cs="Arial"/>
          <w:sz w:val="21"/>
          <w:szCs w:val="21"/>
          <w:lang w:eastAsia="en-US"/>
        </w:rPr>
        <w:t xml:space="preserve"> relative all'individuazione degli incarichi vietati ai dipendenti pubblici;</w:t>
      </w:r>
    </w:p>
    <w:p w:rsidR="00582DE2" w:rsidRDefault="00582DE2" w:rsidP="00582DE2">
      <w:pPr>
        <w:spacing w:before="100"/>
        <w:jc w:val="both"/>
      </w:pPr>
      <w:r>
        <w:rPr>
          <w:rFonts w:ascii="Arial" w:eastAsia="Calibri" w:hAnsi="Arial" w:cs="Arial"/>
          <w:sz w:val="21"/>
          <w:szCs w:val="21"/>
          <w:lang w:eastAsia="en-US"/>
        </w:rPr>
        <w:t xml:space="preserve">c) all'adozione, da parte di ciascuna amministrazione, del </w:t>
      </w:r>
      <w:r>
        <w:rPr>
          <w:rFonts w:ascii="Arial" w:eastAsia="Calibri" w:hAnsi="Arial" w:cs="Arial"/>
          <w:sz w:val="21"/>
          <w:szCs w:val="21"/>
          <w:u w:val="single"/>
          <w:lang w:eastAsia="en-US"/>
        </w:rPr>
        <w:t>codice di comportamento</w:t>
      </w:r>
      <w:r>
        <w:rPr>
          <w:rFonts w:ascii="Arial" w:eastAsia="Calibri" w:hAnsi="Arial" w:cs="Arial"/>
          <w:sz w:val="21"/>
          <w:szCs w:val="21"/>
          <w:lang w:eastAsia="en-US"/>
        </w:rPr>
        <w:t xml:space="preserve"> in linea con i principi sanciti recentemente dal DPR 62/2013.</w:t>
      </w:r>
    </w:p>
    <w:p w:rsidR="00582DE2" w:rsidRDefault="00582DE2" w:rsidP="00582DE2">
      <w:pPr>
        <w:spacing w:before="100"/>
        <w:jc w:val="both"/>
      </w:pPr>
      <w:r>
        <w:rPr>
          <w:rFonts w:ascii="Arial" w:eastAsia="Calibri" w:hAnsi="Arial" w:cs="Arial"/>
          <w:sz w:val="21"/>
          <w:szCs w:val="21"/>
          <w:lang w:eastAsia="en-US"/>
        </w:rPr>
        <w:t xml:space="preserve">Al comma 61 dell’art. 1, la Legge 190/2012 prevede inoltre che, attraverso intese in sede di Conferenza unificata, siano </w:t>
      </w:r>
      <w:r>
        <w:rPr>
          <w:rFonts w:ascii="Arial" w:eastAsia="Calibri" w:hAnsi="Arial" w:cs="Arial"/>
          <w:sz w:val="21"/>
          <w:szCs w:val="21"/>
          <w:u w:val="single"/>
          <w:lang w:eastAsia="en-US"/>
        </w:rPr>
        <w:t>definiti gli adempimenti</w:t>
      </w:r>
      <w:r>
        <w:rPr>
          <w:rFonts w:ascii="Arial" w:eastAsia="Calibri" w:hAnsi="Arial" w:cs="Arial"/>
          <w:sz w:val="21"/>
          <w:szCs w:val="21"/>
          <w:lang w:eastAsia="en-US"/>
        </w:rPr>
        <w:t>, attuativi delle disposizioni dei successivi decreti emanati sulla base della stessa, da parte della Regione TAA e delle province autonome di Trento e di Bolzano e degli enti locali, nonché degli enti pubblici e dei soggetti di diritto privato sottoposti al loro controllo.</w:t>
      </w:r>
    </w:p>
    <w:p w:rsidR="00582DE2" w:rsidRDefault="00582DE2" w:rsidP="00582DE2">
      <w:pPr>
        <w:spacing w:before="100"/>
        <w:jc w:val="both"/>
        <w:rPr>
          <w:rFonts w:ascii="Arial" w:eastAsia="Calibri" w:hAnsi="Arial" w:cs="Arial"/>
          <w:sz w:val="21"/>
          <w:szCs w:val="21"/>
          <w:lang w:eastAsia="en-US"/>
        </w:rPr>
      </w:pPr>
      <w:r>
        <w:rPr>
          <w:rFonts w:ascii="Arial" w:eastAsia="Calibri" w:hAnsi="Arial" w:cs="Arial"/>
          <w:sz w:val="21"/>
          <w:szCs w:val="21"/>
          <w:lang w:eastAsia="en-US"/>
        </w:rPr>
        <w:t>L’intesa della Conferenza Unificata Stato regioni del 24/07/2013 ha previsto al 31 gennaio 2014 il termine ultimo entro il quale le Amministrazioni avrebbero dovuto adottare il Piano Anticorruzione.</w:t>
      </w:r>
    </w:p>
    <w:p w:rsidR="00582DE2" w:rsidRDefault="00582DE2" w:rsidP="00582DE2">
      <w:pPr>
        <w:spacing w:before="100"/>
        <w:jc w:val="both"/>
        <w:rPr>
          <w:rFonts w:ascii="Arial" w:eastAsia="Calibri" w:hAnsi="Arial" w:cs="Arial"/>
          <w:sz w:val="21"/>
          <w:szCs w:val="21"/>
          <w:lang w:eastAsia="en-US"/>
        </w:rPr>
      </w:pPr>
      <w:r>
        <w:rPr>
          <w:rFonts w:ascii="Arial" w:eastAsia="Calibri" w:hAnsi="Arial" w:cs="Arial"/>
          <w:sz w:val="21"/>
          <w:szCs w:val="21"/>
          <w:lang w:eastAsia="en-US"/>
        </w:rPr>
        <w:t>Con l’Intesa è stato costituito altresì un tavolo tecnico presso il Dipartimento della funzione pubblica con i rappresentanti delle regioni e degli enti locali, per stabilire i criteri sulla base dei quali individuare gli incarichi vietati ai dipendenti delle amministrazioni pubbliche, quale punto di riferimento per le regioni e gli enti locali.</w:t>
      </w:r>
    </w:p>
    <w:p w:rsidR="00582DE2" w:rsidRDefault="00582DE2" w:rsidP="00582DE2">
      <w:pPr>
        <w:spacing w:before="100"/>
        <w:jc w:val="both"/>
      </w:pPr>
      <w:r>
        <w:rPr>
          <w:rFonts w:ascii="Arial" w:eastAsia="Calibri" w:hAnsi="Arial" w:cs="Arial"/>
          <w:sz w:val="21"/>
          <w:szCs w:val="21"/>
          <w:lang w:eastAsia="en-US"/>
        </w:rPr>
        <w:t>A chiusura dei lavori del tavolo tecnico, avviato ad ottobre 2013, è stato formalmente approvato il documento contenente "</w:t>
      </w:r>
      <w:r>
        <w:rPr>
          <w:rFonts w:ascii="Arial" w:eastAsia="Calibri" w:hAnsi="Arial" w:cs="Arial"/>
          <w:i/>
          <w:sz w:val="21"/>
          <w:szCs w:val="21"/>
          <w:lang w:eastAsia="en-US"/>
        </w:rPr>
        <w:t>Criteri generali in materia di incarichi vietati ai pubblici dipendenti</w:t>
      </w:r>
      <w:r>
        <w:rPr>
          <w:rFonts w:ascii="Arial" w:eastAsia="Calibri" w:hAnsi="Arial" w:cs="Arial"/>
          <w:sz w:val="21"/>
          <w:szCs w:val="21"/>
          <w:lang w:eastAsia="en-US"/>
        </w:rPr>
        <w:t>". Obiettivo del documento è quello di supportare le amministrazioni nell'applicazione della normativa in materia di svolgimento di incarichi da parte dei dipendenti e di orientare le scelte in sede di elaborazione dei regolamenti e degli atti di indirizzo.</w:t>
      </w:r>
    </w:p>
    <w:p w:rsidR="00582DE2" w:rsidRDefault="00582DE2" w:rsidP="00582DE2">
      <w:pPr>
        <w:spacing w:before="100"/>
        <w:jc w:val="both"/>
      </w:pPr>
      <w:r>
        <w:rPr>
          <w:rFonts w:ascii="Arial" w:eastAsia="Calibri" w:hAnsi="Arial" w:cs="Arial"/>
          <w:sz w:val="21"/>
          <w:szCs w:val="21"/>
          <w:lang w:eastAsia="en-US"/>
        </w:rPr>
        <w:t>Sul punto si è specificamente espressa la Regione TAA con circolare n.</w:t>
      </w:r>
      <w:r w:rsidR="009C5FEC">
        <w:rPr>
          <w:rFonts w:ascii="Arial" w:eastAsia="Calibri" w:hAnsi="Arial" w:cs="Arial"/>
          <w:sz w:val="21"/>
          <w:szCs w:val="21"/>
          <w:lang w:eastAsia="en-US"/>
        </w:rPr>
        <w:t xml:space="preserve"> </w:t>
      </w:r>
      <w:r>
        <w:rPr>
          <w:rFonts w:ascii="Arial" w:eastAsia="Calibri" w:hAnsi="Arial" w:cs="Arial"/>
          <w:sz w:val="21"/>
          <w:szCs w:val="21"/>
          <w:lang w:eastAsia="en-US"/>
        </w:rPr>
        <w:t>3/EL del 14 agosto 2014, recante prescrizioni circa l’adeguamento del regolamento organico dei Comuni ai criteri generali in</w:t>
      </w:r>
      <w:r>
        <w:rPr>
          <w:rFonts w:ascii="Arial" w:hAnsi="Arial" w:cs="Arial"/>
          <w:sz w:val="21"/>
          <w:szCs w:val="21"/>
        </w:rPr>
        <w:t xml:space="preserve"> materia di incarichi vietati ai pubblici dipendenti, tenendo peraltro in debito conto quanto (già) stabilito dalle leggi regionali in materia (art. 1, comma 1, lettere p), q), r), s), e t) della LR. 25.05.2012 n. 2, confluito nell’art. 108</w:t>
      </w:r>
      <w:r w:rsidR="00B50C8B">
        <w:rPr>
          <w:rFonts w:ascii="Arial" w:hAnsi="Arial" w:cs="Arial"/>
          <w:sz w:val="21"/>
          <w:szCs w:val="21"/>
        </w:rPr>
        <w:t xml:space="preserve"> </w:t>
      </w:r>
      <w:r>
        <w:rPr>
          <w:rFonts w:ascii="Arial" w:hAnsi="Arial" w:cs="Arial"/>
          <w:sz w:val="21"/>
          <w:szCs w:val="21"/>
        </w:rPr>
        <w:t>”Incompatibilità, cumulo di impieghi e incarichi” del Codice degli enti locali della Regione Autonoma Trentino-Alto Adige), che dettano principi e criteri ai quali i regolamenti organici dell’Ente devono attenersi.</w:t>
      </w:r>
    </w:p>
    <w:p w:rsidR="00582DE2" w:rsidRDefault="00582DE2" w:rsidP="00582DE2">
      <w:pPr>
        <w:spacing w:before="100"/>
        <w:jc w:val="both"/>
        <w:rPr>
          <w:rFonts w:ascii="Arial" w:hAnsi="Arial" w:cs="Arial"/>
          <w:sz w:val="21"/>
          <w:szCs w:val="21"/>
        </w:rPr>
      </w:pPr>
      <w:r>
        <w:rPr>
          <w:rFonts w:ascii="Arial" w:hAnsi="Arial" w:cs="Arial"/>
          <w:sz w:val="21"/>
          <w:szCs w:val="21"/>
        </w:rPr>
        <w:t>Nel 2013 è stato inoltre adottato il D.lgs. n. 33 con il quale si sono riordinati gli obblighi di pubblicità e trasparenza delle Pubbliche Amministrazioni, cui ha fatto seguito, sempre nel 2013, come costola della Legge Anticorruzione, il D.lgs. n. 39, finalizzato all’introduzione di griglie di incompatibilità negli incarichi "apicali" sia nelle Amministrazioni dello Stato che in quelle locali (Regioni, Province e Comuni), ma anche negli Enti di diritto privato che sono controllati da una Pubblica Amministrazione.</w:t>
      </w:r>
    </w:p>
    <w:p w:rsidR="00582DE2" w:rsidRDefault="00582DE2" w:rsidP="00582DE2">
      <w:pPr>
        <w:spacing w:before="100"/>
        <w:jc w:val="both"/>
      </w:pPr>
      <w:r>
        <w:rPr>
          <w:rFonts w:ascii="Arial" w:hAnsi="Arial" w:cs="Arial"/>
          <w:sz w:val="21"/>
          <w:szCs w:val="21"/>
        </w:rPr>
        <w:t>In merito alla tematica della Trasparenza si registra la LR. n.</w:t>
      </w:r>
      <w:r w:rsidR="00B50C8B">
        <w:rPr>
          <w:rFonts w:ascii="Arial" w:hAnsi="Arial" w:cs="Arial"/>
          <w:sz w:val="21"/>
          <w:szCs w:val="21"/>
        </w:rPr>
        <w:t xml:space="preserve"> </w:t>
      </w:r>
      <w:r>
        <w:rPr>
          <w:rFonts w:ascii="Arial" w:hAnsi="Arial" w:cs="Arial"/>
          <w:sz w:val="21"/>
          <w:szCs w:val="21"/>
        </w:rPr>
        <w:t>10 del 29 ottobre 2014, recante: “</w:t>
      </w:r>
      <w:r>
        <w:rPr>
          <w:rFonts w:ascii="Arial" w:hAnsi="Arial" w:cs="Arial"/>
          <w:i/>
          <w:sz w:val="21"/>
          <w:szCs w:val="21"/>
        </w:rPr>
        <w:t>Disposizioni in materia di pubblicità, trasparenza e diffusione di informazioni da parte della Regione e degli enti a ordinamento regionale</w:t>
      </w:r>
      <w:r>
        <w:rPr>
          <w:rFonts w:ascii="Arial" w:hAnsi="Arial" w:cs="Arial"/>
          <w:sz w:val="21"/>
          <w:szCs w:val="21"/>
        </w:rPr>
        <w:t>”.</w:t>
      </w:r>
    </w:p>
    <w:p w:rsidR="00582DE2" w:rsidRDefault="00582DE2" w:rsidP="00582DE2">
      <w:pPr>
        <w:spacing w:before="100"/>
        <w:jc w:val="both"/>
        <w:rPr>
          <w:rFonts w:ascii="Arial" w:hAnsi="Arial" w:cs="Arial"/>
          <w:sz w:val="21"/>
          <w:szCs w:val="21"/>
        </w:rPr>
      </w:pPr>
      <w:r>
        <w:rPr>
          <w:rFonts w:ascii="Arial" w:hAnsi="Arial" w:cs="Arial"/>
          <w:sz w:val="21"/>
          <w:szCs w:val="21"/>
        </w:rPr>
        <w:t>Sulla materia si è nuovamente cimentato il legislatore nazionale con l’adozione del D.</w:t>
      </w:r>
      <w:r w:rsidR="00B50C8B">
        <w:rPr>
          <w:rFonts w:ascii="Arial" w:hAnsi="Arial" w:cs="Arial"/>
          <w:sz w:val="21"/>
          <w:szCs w:val="21"/>
        </w:rPr>
        <w:t xml:space="preserve"> </w:t>
      </w:r>
      <w:r>
        <w:rPr>
          <w:rFonts w:ascii="Arial" w:hAnsi="Arial" w:cs="Arial"/>
          <w:sz w:val="21"/>
          <w:szCs w:val="21"/>
        </w:rPr>
        <w:t>Lgs. 97/2016, sulla base della delega espressa dalla Legge di riforma della pubblica amministrazione (cd. Legge Madia) n.</w:t>
      </w:r>
      <w:r w:rsidR="00B50C8B">
        <w:rPr>
          <w:rFonts w:ascii="Arial" w:hAnsi="Arial" w:cs="Arial"/>
          <w:sz w:val="21"/>
          <w:szCs w:val="21"/>
        </w:rPr>
        <w:t xml:space="preserve"> </w:t>
      </w:r>
      <w:r>
        <w:rPr>
          <w:rFonts w:ascii="Arial" w:hAnsi="Arial" w:cs="Arial"/>
          <w:sz w:val="21"/>
          <w:szCs w:val="21"/>
        </w:rPr>
        <w:t xml:space="preserve">124/2015. </w:t>
      </w:r>
    </w:p>
    <w:p w:rsidR="00582DE2" w:rsidRDefault="00582DE2" w:rsidP="00582DE2">
      <w:pPr>
        <w:spacing w:before="100"/>
        <w:jc w:val="both"/>
        <w:rPr>
          <w:rFonts w:ascii="Arial" w:hAnsi="Arial" w:cs="Arial"/>
          <w:sz w:val="21"/>
          <w:szCs w:val="21"/>
        </w:rPr>
      </w:pPr>
      <w:r>
        <w:rPr>
          <w:rFonts w:ascii="Arial" w:hAnsi="Arial" w:cs="Arial"/>
          <w:sz w:val="21"/>
          <w:szCs w:val="21"/>
        </w:rPr>
        <w:t xml:space="preserve">Il 16.12.2016 è entrata in vigore la legge regionale n. 16 del 15.12.2016 ("Legge regionale collegata alla legge regionale di stabilità 2017"). Il Capo primo di tale legge riguarda le "Disposizioni di adeguamento alle norme in materia di trasparenza" e dispone alcune modifiche alla legge regionale n. 10/2014 ("Disposizioni in materia di pubblicità, trasparenza e diffusione di informazioni da parte della Regione e degli enti a ordinamento regionale"). </w:t>
      </w:r>
    </w:p>
    <w:p w:rsidR="00582DE2" w:rsidRDefault="00582DE2" w:rsidP="00582DE2">
      <w:pPr>
        <w:spacing w:before="100"/>
        <w:jc w:val="both"/>
      </w:pPr>
      <w:r>
        <w:rPr>
          <w:rFonts w:ascii="Arial" w:hAnsi="Arial" w:cs="Arial"/>
          <w:sz w:val="21"/>
          <w:szCs w:val="21"/>
        </w:rPr>
        <w:lastRenderedPageBreak/>
        <w:t>Il Piano triennale di prevenzione della corruzione e della trasparenza 2020-2022 era stato predisposto prendendo come riferimento nuovo Piano Nazione Anticorruzione 2019 (deliberazione n. 1064/2019), ma era stato evidenziato che alcune novità contenute in quest’ultimo, considerata la loro complessità di adozione e la tempistica intercorrente tra l’emanazione del PNA 2019 e l’adozione del PTPCT 2020-2022, sarebbero state recepite nel PTPCT 2021-2023, come anche indicato da ANAC.</w:t>
      </w:r>
    </w:p>
    <w:p w:rsidR="00582DE2" w:rsidRDefault="00582DE2" w:rsidP="00582DE2">
      <w:pPr>
        <w:spacing w:before="100"/>
        <w:jc w:val="both"/>
        <w:rPr>
          <w:rFonts w:ascii="Arial" w:hAnsi="Arial" w:cs="Arial"/>
          <w:sz w:val="21"/>
          <w:szCs w:val="21"/>
        </w:rPr>
      </w:pPr>
      <w:r>
        <w:rPr>
          <w:rFonts w:ascii="Arial" w:hAnsi="Arial" w:cs="Arial"/>
          <w:sz w:val="21"/>
          <w:szCs w:val="21"/>
        </w:rPr>
        <w:t>Nella compilazione del presente Piano sono state recepite tutte le novità introdotte dal PNA 2019. Attraverso quest’ultimo documento sono state consolidate in unico atto di indirizzo tutte le indicazioni relative alla parte generale date nei precedenti P.N.A. (integrandole con gli orientamenti maturati nel corso del tempo e con i contenuti degli appositi atti regolatori adottati) e sono state aggiornate le indicazioni metodologiche per la gestione del rischio corruttivo. L’Allegato 1) del PNA 2019 (Indicazioni metodologiche per la gestione dei rischi corruttivi).</w:t>
      </w:r>
    </w:p>
    <w:p w:rsidR="00582DE2" w:rsidRDefault="00582DE2" w:rsidP="00582DE2">
      <w:pPr>
        <w:spacing w:before="100"/>
        <w:jc w:val="both"/>
        <w:rPr>
          <w:rFonts w:ascii="Arial" w:hAnsi="Arial" w:cs="Arial"/>
          <w:sz w:val="21"/>
          <w:szCs w:val="21"/>
        </w:rPr>
      </w:pPr>
      <w:r>
        <w:rPr>
          <w:rFonts w:ascii="Arial" w:hAnsi="Arial" w:cs="Arial"/>
          <w:sz w:val="21"/>
          <w:szCs w:val="21"/>
        </w:rPr>
        <w:t>Il PNA 2019 diventa, pertanto l’unico documento da applicare per la parte relativa alla gestione del rischio corruttivo nella predisposizione del Piano triennale per la prevenzione della corruzione e della trasparenza, mentre restano validi gli approfondimenti tematici riportati nei precedenti PNA ovvero:</w:t>
      </w:r>
    </w:p>
    <w:p w:rsidR="00582DE2" w:rsidRDefault="00582DE2" w:rsidP="00582DE2">
      <w:pPr>
        <w:spacing w:before="100"/>
        <w:jc w:val="both"/>
        <w:rPr>
          <w:rFonts w:ascii="Arial" w:hAnsi="Arial" w:cs="Arial"/>
          <w:sz w:val="21"/>
          <w:szCs w:val="21"/>
        </w:rPr>
      </w:pPr>
    </w:p>
    <w:p w:rsidR="00582DE2" w:rsidRDefault="00582DE2" w:rsidP="00582DE2">
      <w:pPr>
        <w:numPr>
          <w:ilvl w:val="0"/>
          <w:numId w:val="30"/>
        </w:numPr>
        <w:autoSpaceDN w:val="0"/>
        <w:spacing w:after="76" w:line="264" w:lineRule="auto"/>
        <w:ind w:right="1" w:hanging="259"/>
        <w:jc w:val="both"/>
        <w:rPr>
          <w:rFonts w:ascii="Arial" w:hAnsi="Arial" w:cs="Arial"/>
          <w:sz w:val="21"/>
          <w:szCs w:val="21"/>
        </w:rPr>
      </w:pPr>
      <w:r>
        <w:rPr>
          <w:rFonts w:ascii="Arial" w:hAnsi="Arial" w:cs="Arial"/>
          <w:sz w:val="21"/>
          <w:szCs w:val="21"/>
        </w:rPr>
        <w:t>Delibera Civit n. 72 del 11 settembre .2013 (Approvazione del Piano Nazionale Anticorruzione);</w:t>
      </w:r>
    </w:p>
    <w:p w:rsidR="00582DE2" w:rsidRDefault="00582DE2" w:rsidP="00582DE2">
      <w:pPr>
        <w:numPr>
          <w:ilvl w:val="0"/>
          <w:numId w:val="30"/>
        </w:numPr>
        <w:autoSpaceDN w:val="0"/>
        <w:spacing w:after="76" w:line="264" w:lineRule="auto"/>
        <w:ind w:right="1" w:hanging="259"/>
        <w:jc w:val="both"/>
        <w:rPr>
          <w:rFonts w:ascii="Arial" w:hAnsi="Arial" w:cs="Arial"/>
          <w:sz w:val="21"/>
          <w:szCs w:val="21"/>
        </w:rPr>
      </w:pPr>
      <w:r>
        <w:rPr>
          <w:rFonts w:ascii="Arial" w:hAnsi="Arial" w:cs="Arial"/>
          <w:sz w:val="21"/>
          <w:szCs w:val="21"/>
        </w:rPr>
        <w:t>Determinazione ANAC  n. 12 del 28 ottobre 2015 (Aggiornamento 2015 al Piano Nazionale Anticorruzione);</w:t>
      </w:r>
    </w:p>
    <w:p w:rsidR="00582DE2" w:rsidRDefault="00582DE2" w:rsidP="00582DE2">
      <w:pPr>
        <w:numPr>
          <w:ilvl w:val="0"/>
          <w:numId w:val="30"/>
        </w:numPr>
        <w:autoSpaceDN w:val="0"/>
        <w:spacing w:after="76" w:line="264" w:lineRule="auto"/>
        <w:ind w:right="1" w:hanging="259"/>
        <w:jc w:val="both"/>
        <w:rPr>
          <w:rFonts w:ascii="Arial" w:hAnsi="Arial" w:cs="Arial"/>
          <w:sz w:val="21"/>
          <w:szCs w:val="21"/>
        </w:rPr>
      </w:pPr>
      <w:r>
        <w:rPr>
          <w:rFonts w:ascii="Arial" w:hAnsi="Arial" w:cs="Arial"/>
          <w:sz w:val="21"/>
          <w:szCs w:val="21"/>
        </w:rPr>
        <w:t>Determinazione ANAC  n. 831 del 3 agosto 2016 (Piano Nazionale Anticorruzione 2016);</w:t>
      </w:r>
    </w:p>
    <w:p w:rsidR="00582DE2" w:rsidRDefault="00582DE2" w:rsidP="00582DE2">
      <w:pPr>
        <w:numPr>
          <w:ilvl w:val="0"/>
          <w:numId w:val="30"/>
        </w:numPr>
        <w:autoSpaceDN w:val="0"/>
        <w:spacing w:after="78" w:line="264" w:lineRule="auto"/>
        <w:ind w:right="1" w:hanging="259"/>
        <w:jc w:val="both"/>
        <w:rPr>
          <w:rFonts w:ascii="Arial" w:hAnsi="Arial" w:cs="Arial"/>
          <w:sz w:val="21"/>
          <w:szCs w:val="21"/>
        </w:rPr>
      </w:pPr>
      <w:r>
        <w:rPr>
          <w:rFonts w:ascii="Arial" w:hAnsi="Arial" w:cs="Arial"/>
          <w:sz w:val="21"/>
          <w:szCs w:val="21"/>
        </w:rPr>
        <w:t>Deliberazione ANAC   n. 1208 del 22 novembre 2017 (Aggiornamento 2017 al Piano Nazionale Anticorruzione);</w:t>
      </w:r>
    </w:p>
    <w:p w:rsidR="00582DE2" w:rsidRDefault="00582DE2" w:rsidP="00582DE2">
      <w:pPr>
        <w:numPr>
          <w:ilvl w:val="0"/>
          <w:numId w:val="30"/>
        </w:numPr>
        <w:autoSpaceDN w:val="0"/>
        <w:spacing w:line="264" w:lineRule="auto"/>
        <w:ind w:hanging="259"/>
        <w:jc w:val="both"/>
        <w:rPr>
          <w:rFonts w:ascii="Arial" w:hAnsi="Arial" w:cs="Arial"/>
          <w:sz w:val="21"/>
          <w:szCs w:val="21"/>
        </w:rPr>
      </w:pPr>
      <w:r>
        <w:rPr>
          <w:rFonts w:ascii="Arial" w:hAnsi="Arial" w:cs="Arial"/>
          <w:sz w:val="21"/>
          <w:szCs w:val="21"/>
        </w:rPr>
        <w:t>Deliberazione  ANAC n. 1074 del 21 novembre 2018 (Aggiornamento al Piano Nazionale 2018).</w:t>
      </w:r>
    </w:p>
    <w:p w:rsidR="00582DE2" w:rsidRDefault="00582DE2" w:rsidP="00582DE2">
      <w:pPr>
        <w:ind w:left="-5"/>
      </w:pPr>
    </w:p>
    <w:p w:rsidR="00F756BB" w:rsidRPr="00F756BB" w:rsidRDefault="00F756BB" w:rsidP="00F756BB">
      <w:pPr>
        <w:spacing w:before="100"/>
        <w:jc w:val="both"/>
        <w:rPr>
          <w:rFonts w:ascii="Arial" w:hAnsi="Arial" w:cs="Arial"/>
          <w:sz w:val="21"/>
          <w:szCs w:val="21"/>
        </w:rPr>
      </w:pPr>
      <w:r w:rsidRPr="00F756BB">
        <w:rPr>
          <w:rFonts w:ascii="Arial" w:hAnsi="Arial" w:cs="Arial"/>
          <w:sz w:val="21"/>
          <w:szCs w:val="21"/>
        </w:rPr>
        <w:t>Nel cit. PNA 2019, l’Autorità ha precisato che “per il PNA 2019-2021… ha deciso di concentrare la propria attenzione sulle indicazioni relative alla parte generale del PNA, rivedendo e consolidando in un unico atto di indirizzo tutte le indicazioni date fino ad oggi, integrandole con orientamenti maturati nel corso del tempo e che sono anche stati oggetto di appositi atti regolatori. Si intendono, pertanto, superate le indicazioni contenute nelle Parti generali dei PNA e degli Aggiornamenti fino ad oggi adottati”, osservando anche che “le indicazioni del PNA non devono comportare l’introduzione di adempimenti e controlli formali con conseguente aggravio burocratico. Al contrario, sono da intendersi in un’ottica di ottimizzazione e maggiore razionalizzazione dell’organizzazione e dell’attività delle amministrazioni per il perseguimento dei propri fini istituzionali secondo i principi di imparzialità efficacia, efficienza ed economicità dell’azione amministrativa… ogni amministrazione presenta differenti livelli e fattori abilitanti al rischio corruttivo per via delle specificità ordinamentali e dimensionali nonché per via del contesto territoriale, sociale, economico, culturale e organizzativo in cui si colloca, per l’elaborazione del PTPCT si deve tenere conto di tali fattori di contesto. Il PTPCT, pertanto, non può essere oggetto di standardizzazione”.</w:t>
      </w:r>
    </w:p>
    <w:p w:rsidR="00F756BB" w:rsidRDefault="00F756BB" w:rsidP="00F756BB">
      <w:pPr>
        <w:spacing w:before="100"/>
        <w:jc w:val="both"/>
        <w:rPr>
          <w:rFonts w:ascii="Arial" w:hAnsi="Arial" w:cs="Arial"/>
          <w:sz w:val="21"/>
          <w:szCs w:val="21"/>
        </w:rPr>
      </w:pPr>
      <w:r w:rsidRPr="00F756BB">
        <w:rPr>
          <w:rFonts w:ascii="Arial" w:hAnsi="Arial" w:cs="Arial"/>
          <w:sz w:val="21"/>
          <w:szCs w:val="21"/>
        </w:rPr>
        <w:t>Nel comunicato del Presidente ANAC del 2 dicembre 2020, riferisce che “tenuto conto dell’emergenza sanitaria da Covid-19, il Consiglio dell’Autorità nella seduta del 2 dicembre u.s. ha ritenuto opportuno differire, al 31 marzo 2021, il termine ultimo per la predisposizione e la pubblicazione della Relazione annuale 2020 che i Responsabili per la Prevenzione della corruzione e la trasparenza (RPCT) sono tenuti ad elaborare, ai sensi dell’art. 1, co. 14, della legge 190/2012. A tal fine, l’Autorità metterà a disposizione, entro l’11 dicembre prossimo, l’apposito modello, che sarà generato anche per chi, su base volontaria, ha utilizzato la Piattaforma per l’acquisizione dei dati sui Piani triennali per la prevenzione della corruzione e la trasparenza. Restano valide le Relazioni già pubblicate. Per le stesse motivazioni legate all’emergenza sanitaria e al fine di consentire ai RPCT di svolgere adeguatamente tutte le attività connesse all’elaborazione dei Piani triennali per la prevenzione della corruzione e la trasparenza, il Consiglio dell’Autorità ha altresì deliberato di differire alla medesima data (31 marzo 2021) il termine ultimo per la predisposizione e la pubblicazione dei Piani Triennali per la prevenzione della corruzione e la trasparenza 2021-2023”.</w:t>
      </w:r>
    </w:p>
    <w:p w:rsidR="00582DE2" w:rsidRDefault="00582DE2" w:rsidP="00F756BB">
      <w:pPr>
        <w:spacing w:before="100"/>
        <w:jc w:val="both"/>
        <w:rPr>
          <w:rFonts w:ascii="Arial" w:hAnsi="Arial" w:cs="Arial"/>
          <w:sz w:val="21"/>
          <w:szCs w:val="21"/>
        </w:rPr>
      </w:pPr>
      <w:r w:rsidRPr="009C5FEC">
        <w:rPr>
          <w:rFonts w:ascii="Arial" w:hAnsi="Arial" w:cs="Arial"/>
          <w:sz w:val="21"/>
          <w:szCs w:val="21"/>
        </w:rPr>
        <w:t xml:space="preserve">L'elaborazione del piano è stata preceduta da un avviso rivolto agli </w:t>
      </w:r>
      <w:r w:rsidRPr="009C5FEC">
        <w:rPr>
          <w:rFonts w:ascii="Arial" w:hAnsi="Arial" w:cs="Arial"/>
          <w:i/>
          <w:iCs/>
          <w:sz w:val="21"/>
          <w:szCs w:val="21"/>
        </w:rPr>
        <w:t>stakeholders</w:t>
      </w:r>
      <w:r w:rsidR="00235B99">
        <w:rPr>
          <w:rFonts w:ascii="Arial" w:hAnsi="Arial" w:cs="Arial"/>
          <w:sz w:val="21"/>
          <w:szCs w:val="21"/>
        </w:rPr>
        <w:t xml:space="preserve">, </w:t>
      </w:r>
      <w:r w:rsidR="00036692">
        <w:rPr>
          <w:rFonts w:ascii="Arial" w:hAnsi="Arial" w:cs="Arial"/>
          <w:sz w:val="21"/>
          <w:szCs w:val="21"/>
        </w:rPr>
        <w:t>prot.llo n. 4124 dd. 29.11.2021, pubblicato all’albo telematico del Comune di Telve di Sopra dal 29.11.2021 al 30.12.2021</w:t>
      </w:r>
      <w:r w:rsidRPr="009C5FEC">
        <w:rPr>
          <w:rFonts w:ascii="Arial" w:hAnsi="Arial" w:cs="Arial"/>
          <w:sz w:val="21"/>
          <w:szCs w:val="21"/>
        </w:rPr>
        <w:t xml:space="preserve">, </w:t>
      </w:r>
      <w:r w:rsidRPr="009C5FEC">
        <w:rPr>
          <w:rFonts w:ascii="Arial" w:hAnsi="Arial" w:cs="Arial"/>
          <w:sz w:val="21"/>
          <w:szCs w:val="21"/>
        </w:rPr>
        <w:lastRenderedPageBreak/>
        <w:t>con il quale sono stati invitati a presentare proposte, suggerimenti e osservazioni in merito ai contenuti del piano.</w:t>
      </w:r>
    </w:p>
    <w:p w:rsidR="00B50C8B" w:rsidRDefault="00B50C8B" w:rsidP="00582DE2">
      <w:pPr>
        <w:spacing w:before="100"/>
        <w:jc w:val="both"/>
      </w:pPr>
      <w:r>
        <w:rPr>
          <w:rFonts w:ascii="Arial" w:hAnsi="Arial" w:cs="Arial"/>
          <w:sz w:val="21"/>
          <w:szCs w:val="21"/>
        </w:rPr>
        <w:t>Nel corso dell’anno sarà cura degli Uffici ampliare/implementare /aggiornare ulteriori processi rispetto a quelli mappati.</w:t>
      </w:r>
    </w:p>
    <w:p w:rsidR="00582DE2" w:rsidRDefault="00582DE2" w:rsidP="00582DE2">
      <w:pPr>
        <w:keepNext/>
        <w:spacing w:before="240" w:after="60" w:line="276" w:lineRule="auto"/>
        <w:rPr>
          <w:rFonts w:ascii="Calibri" w:hAnsi="Calibri"/>
          <w:b/>
        </w:rPr>
      </w:pPr>
      <w:r>
        <w:rPr>
          <w:rFonts w:ascii="Calibri" w:hAnsi="Calibri"/>
          <w:b/>
        </w:rPr>
        <w:t xml:space="preserve">1. LA FINALITA’ DEL PIANO </w:t>
      </w:r>
    </w:p>
    <w:p w:rsidR="00582DE2" w:rsidRDefault="00582DE2" w:rsidP="00582DE2">
      <w:pPr>
        <w:tabs>
          <w:tab w:val="left" w:pos="447"/>
        </w:tabs>
        <w:autoSpaceDE w:val="0"/>
        <w:spacing w:before="100"/>
        <w:jc w:val="both"/>
        <w:rPr>
          <w:rFonts w:ascii="Arial" w:hAnsi="Arial" w:cs="Arial"/>
          <w:sz w:val="21"/>
          <w:szCs w:val="21"/>
        </w:rPr>
      </w:pPr>
      <w:r>
        <w:rPr>
          <w:rFonts w:ascii="Arial" w:hAnsi="Arial" w:cs="Arial"/>
          <w:sz w:val="21"/>
          <w:szCs w:val="21"/>
        </w:rPr>
        <w:t>La finalità del presente Piano Anticorruzione è quello di proseguire con il monitoraggio di quanto già avviato a far data dal 2014 per la costruzione all’interno dell’Amministrazione, di un sistema organico di strumenti per la prevenzione della corruzione.</w:t>
      </w:r>
    </w:p>
    <w:p w:rsidR="00F756BB" w:rsidRDefault="00F756BB" w:rsidP="00582DE2">
      <w:pPr>
        <w:tabs>
          <w:tab w:val="left" w:pos="447"/>
        </w:tabs>
        <w:autoSpaceDE w:val="0"/>
        <w:spacing w:before="100"/>
        <w:jc w:val="both"/>
        <w:rPr>
          <w:rFonts w:ascii="Arial" w:hAnsi="Arial" w:cs="Arial"/>
          <w:sz w:val="21"/>
          <w:szCs w:val="21"/>
        </w:rPr>
      </w:pPr>
      <w:r w:rsidRPr="00F756BB">
        <w:rPr>
          <w:rFonts w:ascii="Arial" w:hAnsi="Arial" w:cs="Arial"/>
          <w:sz w:val="21"/>
          <w:szCs w:val="21"/>
        </w:rPr>
        <w:t>L’obiettivo dell’aggiornamento del Piano TPCT 2022 – 2023 - 2024 è quello di prevenire il “rischio corruzione” nell’attività amministrativa del comune con azioni di prevenzione e di contrasto della illegalità, individuando delle “misure” per neutralizzare i rischi nei processi decisionali, promuovendo una cultura della “legalità” e dell’“integrità” in attuazione della Legge n. 190/2012 e dei connessi decreti attuativi (D.lgs. n. 33 e 39 del 2013).</w:t>
      </w:r>
    </w:p>
    <w:p w:rsidR="00582DE2" w:rsidRDefault="00582DE2" w:rsidP="00582DE2">
      <w:pPr>
        <w:tabs>
          <w:tab w:val="left" w:pos="447"/>
        </w:tabs>
        <w:autoSpaceDE w:val="0"/>
        <w:spacing w:before="100"/>
        <w:jc w:val="both"/>
        <w:rPr>
          <w:rFonts w:ascii="Arial" w:hAnsi="Arial" w:cs="Arial"/>
          <w:sz w:val="21"/>
          <w:szCs w:val="21"/>
        </w:rPr>
      </w:pPr>
      <w:r>
        <w:rPr>
          <w:rFonts w:ascii="Arial" w:hAnsi="Arial" w:cs="Arial"/>
          <w:sz w:val="21"/>
          <w:szCs w:val="21"/>
        </w:rPr>
        <w:t>Tale prevenzione non è indirizzata esclusivamente alle fattispecie di reato previste dal Codice Penale, ma anche a quelle situazioni di rilevanza non criminale, ma comunque atte a evidenziare una disfunzione della Pubblica Amministrazione dovuta all'utilizzo delle funzioni attribuite non per il perseguimento dell'interesse collettivo, bensì di quello privato.</w:t>
      </w:r>
    </w:p>
    <w:p w:rsidR="00582DE2" w:rsidRDefault="00582DE2" w:rsidP="00582DE2">
      <w:pPr>
        <w:tabs>
          <w:tab w:val="left" w:pos="447"/>
        </w:tabs>
        <w:autoSpaceDE w:val="0"/>
        <w:spacing w:before="100"/>
        <w:jc w:val="both"/>
        <w:rPr>
          <w:rFonts w:ascii="Arial" w:hAnsi="Arial" w:cs="Arial"/>
          <w:sz w:val="21"/>
          <w:szCs w:val="21"/>
        </w:rPr>
      </w:pPr>
      <w:r>
        <w:rPr>
          <w:rFonts w:ascii="Arial" w:hAnsi="Arial" w:cs="Arial"/>
          <w:sz w:val="21"/>
          <w:szCs w:val="21"/>
        </w:rPr>
        <w:t>Nell’ambito del PNA 2019, l’ANAC fornisce una definizione aggiornata di “corruzione” e di “prevenzione della corruzione”, integrando e superando le precedenti definizioni. Il PNA 2019, dunque, distingue fra la definizione di corruzione, ovvero i “comportamenti soggettivi impropri di un pubblico funzionario che, al fine di curare un interesse proprio o un interesse particolare di terzi, assuma (o concorra all’adozione di) una decisione pubblica, deviando, in cambio di un vantaggio (economico o meno), dai propri doveri d’ufficio, cioè, dalla cura imparziale dell’interesse pubblico affidatogli”, più propri del contrasto penalistico ai fenomeni corruttivi, da quella di “prevenzione della corruzione”, ovvero “una vasta serie di misure con cui si creano le condizioni per rendere sempre più difficile l’adozione di comportamenti di corruzione nelle amministrazioni pubbliche e nei soggetti, anche privati, considerati dalla legge 190/2012.”. Pertanto, non si intende modificato il contenuto della nozione di corruzione, intesa in senso penalistico, ma la “prevenzione della corruzione” introduce in modo organico e mette a sistema misure che incidono laddove si configurano condotte, situazioni, condizioni, organizzative ed individuali - riconducibili anche a forme di cattiva amministrazione - che potrebbero essere prodromiche ovvero costituire un ambiente favorevole alla commissione di fatti corruttivi in senso proprio.</w:t>
      </w:r>
    </w:p>
    <w:p w:rsidR="00582DE2" w:rsidRDefault="00582DE2" w:rsidP="00582DE2">
      <w:pPr>
        <w:tabs>
          <w:tab w:val="left" w:pos="447"/>
        </w:tabs>
        <w:autoSpaceDE w:val="0"/>
        <w:spacing w:before="100"/>
        <w:jc w:val="both"/>
        <w:rPr>
          <w:rFonts w:ascii="Arial" w:hAnsi="Arial" w:cs="Arial"/>
          <w:sz w:val="21"/>
          <w:szCs w:val="21"/>
        </w:rPr>
      </w:pPr>
      <w:r>
        <w:rPr>
          <w:rFonts w:ascii="Arial" w:hAnsi="Arial" w:cs="Arial"/>
          <w:sz w:val="21"/>
          <w:szCs w:val="21"/>
        </w:rPr>
        <w:t>ANAC nel PNA 2019 specifica che “la finalità del PTPCT è quella di identificare le misure organizzative volte a contenere il rischio di assunzione di decisioni non imparziali. A tale riguardo spetta alle amministrazioni valutare e gestire il rischio corruttivo, secondo una metodologia che comprende l’analisi del contesto (interno ed esterno), la valutazione del rischio (identificazione, analisi e ponderazione del rischio) e il trattamento del rischio (identificazione e programmazione delle misure di prevenzione)”..</w:t>
      </w:r>
    </w:p>
    <w:p w:rsidR="00F756BB" w:rsidRPr="00F756BB" w:rsidRDefault="00F756BB" w:rsidP="00F756BB">
      <w:pPr>
        <w:spacing w:before="100"/>
        <w:jc w:val="both"/>
        <w:rPr>
          <w:rFonts w:ascii="Arial" w:hAnsi="Arial" w:cs="Arial"/>
          <w:sz w:val="21"/>
          <w:szCs w:val="21"/>
        </w:rPr>
      </w:pPr>
      <w:r w:rsidRPr="00F756BB">
        <w:rPr>
          <w:rFonts w:ascii="Arial" w:hAnsi="Arial" w:cs="Arial"/>
          <w:sz w:val="21"/>
          <w:szCs w:val="21"/>
        </w:rPr>
        <w:t>In merito alla tematica della Trasparenza si registra la L.R. n.10 del 29 ottobre 2014, recante: “Disposizioni in materia di pubblicità, trasparenza e diffusione di informazioni da parte della Regione e degli enti a ordinamento regionale”.</w:t>
      </w:r>
    </w:p>
    <w:p w:rsidR="00F756BB" w:rsidRPr="00F756BB" w:rsidRDefault="00F756BB" w:rsidP="00F756BB">
      <w:pPr>
        <w:spacing w:before="100"/>
        <w:jc w:val="both"/>
        <w:rPr>
          <w:rFonts w:ascii="Arial" w:hAnsi="Arial" w:cs="Arial"/>
          <w:sz w:val="21"/>
          <w:szCs w:val="21"/>
        </w:rPr>
      </w:pPr>
      <w:r w:rsidRPr="00F756BB">
        <w:rPr>
          <w:rFonts w:ascii="Arial" w:hAnsi="Arial" w:cs="Arial"/>
          <w:sz w:val="21"/>
          <w:szCs w:val="21"/>
        </w:rPr>
        <w:t>Il 16 dicembre 2016 è entrata in vigore la legge regionale n. 16 del 15 dicembre 2016 ("Legge regionale collegata alla legge regionale di stabilità 2017"). Il Capo primo di tale legge riguarda le "Disposizioni di adeguamento alle norme in materia di trasparenza" e dispone alcune modifiche alla legge regionale n. 10/2014 ("Disposizioni in materia di pubblicità, trasparenza e diffusione di informazioni da parte della Regione e degli en</w:t>
      </w:r>
      <w:r>
        <w:rPr>
          <w:rFonts w:ascii="Arial" w:hAnsi="Arial" w:cs="Arial"/>
          <w:sz w:val="21"/>
          <w:szCs w:val="21"/>
        </w:rPr>
        <w:t xml:space="preserve">ti a ordinamento regionale").  </w:t>
      </w:r>
    </w:p>
    <w:p w:rsidR="00F756BB" w:rsidRPr="00F756BB" w:rsidRDefault="00F756BB" w:rsidP="00F756BB">
      <w:pPr>
        <w:spacing w:before="100"/>
        <w:jc w:val="both"/>
        <w:rPr>
          <w:rFonts w:ascii="Arial" w:hAnsi="Arial" w:cs="Arial"/>
          <w:sz w:val="21"/>
          <w:szCs w:val="21"/>
        </w:rPr>
      </w:pPr>
      <w:r w:rsidRPr="00F756BB">
        <w:rPr>
          <w:rFonts w:ascii="Arial" w:hAnsi="Arial" w:cs="Arial"/>
          <w:sz w:val="21"/>
          <w:szCs w:val="21"/>
        </w:rPr>
        <w:t>Il piano considera esclusivamente i processi direttamente gestiti.</w:t>
      </w:r>
    </w:p>
    <w:p w:rsidR="00F756BB" w:rsidRPr="00F756BB" w:rsidRDefault="00F756BB" w:rsidP="00F756BB">
      <w:pPr>
        <w:spacing w:before="100"/>
        <w:jc w:val="both"/>
        <w:rPr>
          <w:rFonts w:ascii="Arial" w:hAnsi="Arial" w:cs="Arial"/>
          <w:sz w:val="21"/>
          <w:szCs w:val="21"/>
        </w:rPr>
      </w:pPr>
    </w:p>
    <w:p w:rsidR="00F756BB" w:rsidRPr="00F756BB" w:rsidRDefault="00F756BB" w:rsidP="00F756BB">
      <w:pPr>
        <w:spacing w:before="100"/>
        <w:jc w:val="both"/>
        <w:rPr>
          <w:rFonts w:ascii="Arial" w:hAnsi="Arial" w:cs="Arial"/>
          <w:sz w:val="21"/>
          <w:szCs w:val="21"/>
        </w:rPr>
      </w:pPr>
      <w:r w:rsidRPr="00F756BB">
        <w:rPr>
          <w:rFonts w:ascii="Arial" w:hAnsi="Arial" w:cs="Arial"/>
          <w:sz w:val="21"/>
          <w:szCs w:val="21"/>
        </w:rPr>
        <w:t>I servizi gestiti in forma esternalizzata (smaltimento rifiuti, distribuzione acqua, ecc.) saranno rispondenti ai contratti di servizio con l’ente gestore e pertanto sono difficili da individuare fa</w:t>
      </w:r>
      <w:r>
        <w:rPr>
          <w:rFonts w:ascii="Arial" w:hAnsi="Arial" w:cs="Arial"/>
          <w:sz w:val="21"/>
          <w:szCs w:val="21"/>
        </w:rPr>
        <w:t>ttispecie corruttive.</w:t>
      </w:r>
    </w:p>
    <w:p w:rsidR="00F756BB" w:rsidRPr="00F756BB" w:rsidRDefault="00F756BB" w:rsidP="00F756BB">
      <w:pPr>
        <w:spacing w:before="100"/>
        <w:jc w:val="both"/>
        <w:rPr>
          <w:rFonts w:ascii="Arial" w:hAnsi="Arial" w:cs="Arial"/>
          <w:sz w:val="21"/>
          <w:szCs w:val="21"/>
        </w:rPr>
      </w:pPr>
      <w:r w:rsidRPr="00F756BB">
        <w:rPr>
          <w:rFonts w:ascii="Arial" w:hAnsi="Arial" w:cs="Arial"/>
          <w:sz w:val="21"/>
          <w:szCs w:val="21"/>
        </w:rPr>
        <w:t xml:space="preserve">In questa sede va opportunamente evidenziato che una delle principali misure organizzative adottate dal comune di Telve di Sopra  è rappresentata dall’informatizzazione di tanti processi in-terni, assicurando </w:t>
      </w:r>
      <w:r w:rsidRPr="00F756BB">
        <w:rPr>
          <w:rFonts w:ascii="Arial" w:hAnsi="Arial" w:cs="Arial"/>
          <w:sz w:val="21"/>
          <w:szCs w:val="21"/>
        </w:rPr>
        <w:lastRenderedPageBreak/>
        <w:t>massima trasparenza nella gestione degli stessi. Anche nel 2022 tale principio ispiratore verrà portato avanti, individuando obiettivi strategici a cui deve essere ispirata l’azione amministrativa, quali ad esempio:</w:t>
      </w:r>
    </w:p>
    <w:p w:rsidR="00F756BB" w:rsidRPr="00F756BB" w:rsidRDefault="00F756BB" w:rsidP="00F756BB">
      <w:pPr>
        <w:spacing w:before="100"/>
        <w:jc w:val="both"/>
        <w:rPr>
          <w:rFonts w:ascii="Arial" w:hAnsi="Arial" w:cs="Arial"/>
          <w:sz w:val="21"/>
          <w:szCs w:val="21"/>
        </w:rPr>
      </w:pPr>
      <w:r w:rsidRPr="00F756BB">
        <w:rPr>
          <w:rFonts w:ascii="Arial" w:hAnsi="Arial" w:cs="Arial"/>
          <w:sz w:val="21"/>
          <w:szCs w:val="21"/>
        </w:rPr>
        <w:t>-</w:t>
      </w:r>
      <w:r w:rsidRPr="00F756BB">
        <w:rPr>
          <w:rFonts w:ascii="Arial" w:hAnsi="Arial" w:cs="Arial"/>
          <w:sz w:val="21"/>
          <w:szCs w:val="21"/>
        </w:rPr>
        <w:tab/>
        <w:t>l’informatizzazione del flusso per alimentare la pubblicazione dei dati nella sezione “Ammini-strazione trasparente”;</w:t>
      </w:r>
    </w:p>
    <w:p w:rsidR="00F756BB" w:rsidRPr="00F756BB" w:rsidRDefault="00F756BB" w:rsidP="00F756BB">
      <w:pPr>
        <w:spacing w:before="100"/>
        <w:jc w:val="both"/>
        <w:rPr>
          <w:rFonts w:ascii="Arial" w:hAnsi="Arial" w:cs="Arial"/>
          <w:sz w:val="21"/>
          <w:szCs w:val="21"/>
        </w:rPr>
      </w:pPr>
      <w:r w:rsidRPr="00F756BB">
        <w:rPr>
          <w:rFonts w:ascii="Arial" w:hAnsi="Arial" w:cs="Arial"/>
          <w:sz w:val="21"/>
          <w:szCs w:val="21"/>
        </w:rPr>
        <w:t>-</w:t>
      </w:r>
      <w:r w:rsidRPr="00F756BB">
        <w:rPr>
          <w:rFonts w:ascii="Arial" w:hAnsi="Arial" w:cs="Arial"/>
          <w:sz w:val="21"/>
          <w:szCs w:val="21"/>
        </w:rPr>
        <w:tab/>
        <w:t>la digitalizzazione delle pratiche (ad esempio possibilità di presentare pratiche edilizie online, di accedere ai servizi tramite SPID, erogazione certificati on-line, ecc);</w:t>
      </w:r>
    </w:p>
    <w:p w:rsidR="00582DE2" w:rsidRDefault="00F756BB" w:rsidP="00F756BB">
      <w:pPr>
        <w:spacing w:before="100"/>
        <w:jc w:val="both"/>
        <w:rPr>
          <w:rFonts w:ascii="Arial" w:hAnsi="Arial" w:cs="Arial"/>
          <w:sz w:val="21"/>
          <w:szCs w:val="21"/>
        </w:rPr>
      </w:pPr>
      <w:r w:rsidRPr="00F756BB">
        <w:rPr>
          <w:rFonts w:ascii="Arial" w:hAnsi="Arial" w:cs="Arial"/>
          <w:sz w:val="21"/>
          <w:szCs w:val="21"/>
        </w:rPr>
        <w:t>-</w:t>
      </w:r>
      <w:r w:rsidRPr="00F756BB">
        <w:rPr>
          <w:rFonts w:ascii="Arial" w:hAnsi="Arial" w:cs="Arial"/>
          <w:sz w:val="21"/>
          <w:szCs w:val="21"/>
        </w:rPr>
        <w:tab/>
        <w:t>la realizzazione dell'integrazione tra il sistema di monitoraggio delle misure anticorruzione e i sistemi di controllo interno.</w:t>
      </w:r>
    </w:p>
    <w:p w:rsidR="004A5BDB" w:rsidRDefault="004A5BDB" w:rsidP="006F17AE">
      <w:pPr>
        <w:keepNext/>
        <w:spacing w:before="240" w:after="60" w:line="276" w:lineRule="auto"/>
        <w:rPr>
          <w:rFonts w:ascii="Calibri" w:hAnsi="Calibri"/>
          <w:b/>
        </w:rPr>
      </w:pPr>
    </w:p>
    <w:p w:rsidR="00582DE2" w:rsidRPr="006F17AE" w:rsidRDefault="00582DE2" w:rsidP="006F17AE">
      <w:pPr>
        <w:keepNext/>
        <w:spacing w:before="240" w:after="60" w:line="276" w:lineRule="auto"/>
        <w:rPr>
          <w:rFonts w:ascii="Calibri" w:hAnsi="Calibri"/>
          <w:b/>
        </w:rPr>
      </w:pPr>
      <w:r w:rsidRPr="006F17AE">
        <w:rPr>
          <w:rFonts w:ascii="Calibri" w:hAnsi="Calibri"/>
          <w:b/>
        </w:rPr>
        <w:t xml:space="preserve">2. IL PERCORSO DI COSTRUZIONE DEL PIANO </w:t>
      </w:r>
    </w:p>
    <w:p w:rsidR="00582DE2" w:rsidRPr="006F17AE" w:rsidRDefault="00582DE2" w:rsidP="006F17AE">
      <w:pPr>
        <w:keepNext/>
        <w:spacing w:before="240" w:after="60" w:line="276" w:lineRule="auto"/>
        <w:rPr>
          <w:rFonts w:ascii="Calibri" w:hAnsi="Calibri"/>
          <w:b/>
        </w:rPr>
      </w:pPr>
      <w:r w:rsidRPr="006F17AE">
        <w:rPr>
          <w:rFonts w:ascii="Calibri" w:hAnsi="Calibri"/>
          <w:b/>
        </w:rPr>
        <w:t>2.1. GLI ASPETTI PRESI IN CONSIDERAZIONE</w:t>
      </w:r>
    </w:p>
    <w:p w:rsidR="00582DE2" w:rsidRDefault="00582DE2" w:rsidP="00582DE2">
      <w:pPr>
        <w:spacing w:before="100"/>
        <w:jc w:val="both"/>
        <w:rPr>
          <w:rFonts w:ascii="Arial" w:hAnsi="Arial" w:cs="Arial"/>
          <w:sz w:val="21"/>
          <w:szCs w:val="21"/>
        </w:rPr>
      </w:pPr>
      <w:r>
        <w:rPr>
          <w:rFonts w:ascii="Arial" w:hAnsi="Arial" w:cs="Arial"/>
          <w:sz w:val="21"/>
          <w:szCs w:val="21"/>
        </w:rPr>
        <w:t xml:space="preserve">Nel percorso di costruzione del presente Piano, si è cercato di tenere in considerazione i principi guida suggeriti nel PNA 2019: principi strategici, principi metodologici e principi finalistici. </w:t>
      </w:r>
    </w:p>
    <w:p w:rsidR="00582DE2" w:rsidRDefault="00582DE2" w:rsidP="00582DE2">
      <w:pPr>
        <w:spacing w:before="100"/>
        <w:jc w:val="both"/>
        <w:rPr>
          <w:rFonts w:ascii="Arial" w:hAnsi="Arial" w:cs="Arial"/>
          <w:sz w:val="21"/>
          <w:szCs w:val="21"/>
        </w:rPr>
      </w:pPr>
      <w:r>
        <w:rPr>
          <w:rFonts w:ascii="Arial" w:hAnsi="Arial" w:cs="Arial"/>
          <w:sz w:val="21"/>
          <w:szCs w:val="21"/>
        </w:rPr>
        <w:t>Inoltre, in continuità con i precedenti PTPCT per le ragioni anzidette, sono stati presi in considerazione i seguenti aspetti:</w:t>
      </w:r>
    </w:p>
    <w:p w:rsidR="00582DE2" w:rsidRDefault="00582DE2" w:rsidP="00582DE2">
      <w:pPr>
        <w:autoSpaceDE w:val="0"/>
        <w:spacing w:before="100"/>
        <w:jc w:val="both"/>
        <w:rPr>
          <w:rFonts w:ascii="Garamond" w:hAnsi="Garamond" w:cs="Garamond"/>
          <w:strike/>
          <w:color w:val="000000"/>
        </w:rPr>
      </w:pPr>
    </w:p>
    <w:p w:rsidR="00582DE2" w:rsidRDefault="00582DE2" w:rsidP="00582DE2">
      <w:pPr>
        <w:numPr>
          <w:ilvl w:val="0"/>
          <w:numId w:val="31"/>
        </w:numPr>
        <w:suppressAutoHyphens/>
        <w:autoSpaceDE w:val="0"/>
        <w:autoSpaceDN w:val="0"/>
        <w:spacing w:before="100"/>
        <w:jc w:val="both"/>
        <w:textAlignment w:val="baseline"/>
      </w:pPr>
      <w:r>
        <w:rPr>
          <w:rFonts w:ascii="Arial" w:hAnsi="Arial" w:cs="Arial"/>
          <w:b/>
          <w:bCs/>
          <w:sz w:val="21"/>
          <w:szCs w:val="21"/>
        </w:rPr>
        <w:t>il coinvolgimento dei Responsabili di Servizio</w:t>
      </w:r>
      <w:r>
        <w:rPr>
          <w:rFonts w:ascii="Arial" w:hAnsi="Arial" w:cs="Arial"/>
          <w:sz w:val="21"/>
          <w:szCs w:val="21"/>
        </w:rPr>
        <w:t xml:space="preserve"> nell’attività di analisi e valutazione, di proposta e definizione delle misure e di monitoraggio per l’implementazione del Piano; tale attività – che non sostituisce ma integra la opportuna formazione rispetto alle finalità e agli strumenti dal Piano stesso - è stata il punto di partenza per la definizione di azioni preventive efficaci rispetto alle reali esigenze del Comune di Telve</w:t>
      </w:r>
      <w:r w:rsidR="00AE18B4">
        <w:rPr>
          <w:rFonts w:ascii="Arial" w:hAnsi="Arial" w:cs="Arial"/>
          <w:sz w:val="21"/>
          <w:szCs w:val="21"/>
        </w:rPr>
        <w:t xml:space="preserve"> di Sopra</w:t>
      </w:r>
      <w:r>
        <w:rPr>
          <w:rFonts w:ascii="Arial" w:hAnsi="Arial" w:cs="Arial"/>
          <w:sz w:val="21"/>
          <w:szCs w:val="21"/>
        </w:rPr>
        <w:t>;</w:t>
      </w:r>
    </w:p>
    <w:p w:rsidR="00582DE2" w:rsidRDefault="00582DE2" w:rsidP="00582DE2">
      <w:pPr>
        <w:numPr>
          <w:ilvl w:val="0"/>
          <w:numId w:val="9"/>
        </w:numPr>
        <w:suppressAutoHyphens/>
        <w:autoSpaceDE w:val="0"/>
        <w:autoSpaceDN w:val="0"/>
        <w:spacing w:before="100"/>
        <w:jc w:val="both"/>
        <w:textAlignment w:val="baseline"/>
      </w:pPr>
      <w:r>
        <w:rPr>
          <w:rFonts w:ascii="Arial" w:hAnsi="Arial" w:cs="Arial"/>
          <w:b/>
          <w:bCs/>
          <w:sz w:val="21"/>
          <w:szCs w:val="21"/>
        </w:rPr>
        <w:t>il coinvolgimento degli amministratori</w:t>
      </w:r>
      <w:r>
        <w:rPr>
          <w:rFonts w:ascii="Arial" w:hAnsi="Arial" w:cs="Arial"/>
          <w:sz w:val="21"/>
          <w:szCs w:val="21"/>
        </w:rPr>
        <w:t xml:space="preserve"> anche nella fase di progettazione, attraverso l’informativa in merito agli indirizzi che si intendono seguire per l’aggiornamento del Piano. Il ruolo della Giunta Comunale è più strettamente operativo potendosi essa esprimere anche in corso di progettazione del PTPC, oltre che in sede di approvazione ed adozione.</w:t>
      </w:r>
    </w:p>
    <w:p w:rsidR="00582DE2" w:rsidRDefault="00582DE2" w:rsidP="00582DE2">
      <w:pPr>
        <w:numPr>
          <w:ilvl w:val="0"/>
          <w:numId w:val="9"/>
        </w:numPr>
        <w:suppressAutoHyphens/>
        <w:autoSpaceDE w:val="0"/>
        <w:autoSpaceDN w:val="0"/>
        <w:spacing w:before="100"/>
        <w:jc w:val="both"/>
        <w:textAlignment w:val="baseline"/>
      </w:pPr>
      <w:r>
        <w:rPr>
          <w:rFonts w:ascii="Arial" w:hAnsi="Arial" w:cs="Arial"/>
          <w:sz w:val="21"/>
          <w:szCs w:val="21"/>
        </w:rPr>
        <w:t xml:space="preserve">la </w:t>
      </w:r>
      <w:r>
        <w:rPr>
          <w:rFonts w:ascii="Arial" w:hAnsi="Arial" w:cs="Arial"/>
          <w:b/>
          <w:bCs/>
          <w:sz w:val="21"/>
          <w:szCs w:val="21"/>
        </w:rPr>
        <w:t>rilevazione delle misure di contrasto</w:t>
      </w:r>
      <w:r>
        <w:rPr>
          <w:rFonts w:ascii="Arial" w:hAnsi="Arial" w:cs="Arial"/>
          <w:sz w:val="21"/>
          <w:szCs w:val="21"/>
        </w:rPr>
        <w:t xml:space="preserve"> (procedimenti a disciplina rinforzata, controlli specifici, particolari valutazioni ex post dei risultati raggiunti, particolari misure nell’organizzazione degli uffici e nella gestione del personale addetto, particolari misure di trasparenza sulle attività svolte) anche già adottate, oltre alla indicazione delle misure che, attualmente non presenti, si prevede di adottare in futuro. Si è in tal modo costruito un Piano che, valorizzando il percorso virtuoso già intrapreso dall’Amministrazione, mette a sistema quanto già positivamente sperimentato purché coerente con le finalità del Piano;</w:t>
      </w:r>
    </w:p>
    <w:p w:rsidR="00582DE2" w:rsidRDefault="00582DE2" w:rsidP="00582DE2">
      <w:pPr>
        <w:numPr>
          <w:ilvl w:val="0"/>
          <w:numId w:val="9"/>
        </w:numPr>
        <w:suppressAutoHyphens/>
        <w:autoSpaceDE w:val="0"/>
        <w:autoSpaceDN w:val="0"/>
        <w:spacing w:before="100"/>
        <w:jc w:val="both"/>
        <w:textAlignment w:val="baseline"/>
        <w:rPr>
          <w:rFonts w:ascii="Arial" w:hAnsi="Arial" w:cs="Arial"/>
          <w:sz w:val="21"/>
          <w:szCs w:val="21"/>
        </w:rPr>
      </w:pPr>
      <w:r>
        <w:rPr>
          <w:rFonts w:ascii="Arial" w:hAnsi="Arial" w:cs="Arial"/>
          <w:sz w:val="21"/>
          <w:szCs w:val="21"/>
        </w:rPr>
        <w:t>l’impegno all’apertura di un tavolo di confronto con i portatori di interessi sui contenuti delle misure adottate nelle aree a maggior rischio di comportamenti non integri, per poter arricchire l’approccio con l’essenziale punto di vista dei fruitori dei servizi del Comune, e nel contempo rendere consapevoli gli interessati degli sforzi messi in campo dall’organizzazione per rafforzare e sostenere l’integrità e trasparenza dei comportamenti dei suoi operatori a tutti i livelli;</w:t>
      </w:r>
    </w:p>
    <w:p w:rsidR="00582DE2" w:rsidRDefault="00582DE2" w:rsidP="00582DE2">
      <w:pPr>
        <w:numPr>
          <w:ilvl w:val="0"/>
          <w:numId w:val="9"/>
        </w:numPr>
        <w:suppressAutoHyphens/>
        <w:autoSpaceDE w:val="0"/>
        <w:autoSpaceDN w:val="0"/>
        <w:spacing w:before="100"/>
        <w:jc w:val="both"/>
        <w:textAlignment w:val="baseline"/>
      </w:pPr>
      <w:r>
        <w:rPr>
          <w:rFonts w:ascii="Arial" w:hAnsi="Arial" w:cs="Arial"/>
          <w:sz w:val="21"/>
          <w:szCs w:val="21"/>
        </w:rPr>
        <w:t xml:space="preserve">la </w:t>
      </w:r>
      <w:r>
        <w:rPr>
          <w:rFonts w:ascii="Arial" w:hAnsi="Arial" w:cs="Arial"/>
          <w:b/>
          <w:bCs/>
          <w:sz w:val="21"/>
          <w:szCs w:val="21"/>
        </w:rPr>
        <w:t>sinergia</w:t>
      </w:r>
      <w:r>
        <w:rPr>
          <w:rFonts w:ascii="Arial" w:hAnsi="Arial" w:cs="Arial"/>
          <w:sz w:val="21"/>
          <w:szCs w:val="21"/>
        </w:rPr>
        <w:t xml:space="preserve"> con quanto già realizzato o in progettazione nell’ambito della trasparenza, </w:t>
      </w:r>
    </w:p>
    <w:p w:rsidR="00582DE2" w:rsidRDefault="00582DE2" w:rsidP="00582DE2">
      <w:pPr>
        <w:numPr>
          <w:ilvl w:val="0"/>
          <w:numId w:val="9"/>
        </w:numPr>
        <w:suppressAutoHyphens/>
        <w:autoSpaceDE w:val="0"/>
        <w:autoSpaceDN w:val="0"/>
        <w:spacing w:before="100"/>
        <w:jc w:val="both"/>
        <w:textAlignment w:val="baseline"/>
      </w:pPr>
      <w:r>
        <w:rPr>
          <w:rFonts w:ascii="Arial" w:hAnsi="Arial" w:cs="Arial"/>
          <w:sz w:val="21"/>
          <w:szCs w:val="21"/>
        </w:rPr>
        <w:t xml:space="preserve">la previsione e l’adozione di </w:t>
      </w:r>
      <w:r>
        <w:rPr>
          <w:rFonts w:ascii="Arial" w:hAnsi="Arial" w:cs="Arial"/>
          <w:b/>
          <w:bCs/>
          <w:sz w:val="21"/>
          <w:szCs w:val="21"/>
        </w:rPr>
        <w:t>specifiche attività di formazione del personale</w:t>
      </w:r>
      <w:r>
        <w:rPr>
          <w:rFonts w:ascii="Arial" w:hAnsi="Arial" w:cs="Arial"/>
          <w:sz w:val="21"/>
          <w:szCs w:val="21"/>
        </w:rPr>
        <w:t>, con attenzione prioritaria al responsabile anticorruzione dell’amministrazione e ai responsabili amministrativi competenti per le attività maggiormente esposte al rischio di corruzione ma che coinvolgono anche tutto il personale dell’amministrazione in relazione alle tematiche della legalità ed eticità dei comportamenti individuali Tali attività proseguiranno in prima battuta tramite l’apporto degli esperti del Consorzio dei Comuni Trentini.</w:t>
      </w:r>
    </w:p>
    <w:p w:rsidR="00582DE2" w:rsidRDefault="00582DE2" w:rsidP="00582DE2">
      <w:pPr>
        <w:numPr>
          <w:ilvl w:val="0"/>
          <w:numId w:val="9"/>
        </w:numPr>
        <w:suppressAutoHyphens/>
        <w:autoSpaceDE w:val="0"/>
        <w:autoSpaceDN w:val="0"/>
        <w:spacing w:before="100"/>
        <w:jc w:val="both"/>
        <w:textAlignment w:val="baseline"/>
        <w:rPr>
          <w:rFonts w:ascii="Arial" w:hAnsi="Arial" w:cs="Arial"/>
          <w:sz w:val="21"/>
          <w:szCs w:val="21"/>
        </w:rPr>
      </w:pPr>
      <w:r>
        <w:rPr>
          <w:rFonts w:ascii="Arial" w:hAnsi="Arial" w:cs="Arial"/>
          <w:sz w:val="21"/>
          <w:szCs w:val="21"/>
        </w:rPr>
        <w:t>l’attività di monitoraggio del Piano precedente è stata attuata mediante confronto con i Responsabili dei singoli servizi;</w:t>
      </w:r>
    </w:p>
    <w:p w:rsidR="00582DE2" w:rsidRDefault="00582DE2" w:rsidP="00582DE2">
      <w:pPr>
        <w:numPr>
          <w:ilvl w:val="0"/>
          <w:numId w:val="9"/>
        </w:numPr>
        <w:suppressAutoHyphens/>
        <w:autoSpaceDE w:val="0"/>
        <w:autoSpaceDN w:val="0"/>
        <w:spacing w:before="100"/>
        <w:jc w:val="both"/>
        <w:textAlignment w:val="baseline"/>
        <w:rPr>
          <w:rFonts w:ascii="Arial" w:hAnsi="Arial" w:cs="Arial"/>
          <w:sz w:val="21"/>
          <w:szCs w:val="21"/>
        </w:rPr>
      </w:pPr>
      <w:r>
        <w:rPr>
          <w:rFonts w:ascii="Arial" w:hAnsi="Arial" w:cs="Arial"/>
          <w:sz w:val="21"/>
          <w:szCs w:val="21"/>
        </w:rPr>
        <w:lastRenderedPageBreak/>
        <w:t>l’adeguamento normativo a seguito della regolazione della materia da parte dell’ANAC, in particolare, con la delibera n. 1064 del 2019.</w:t>
      </w:r>
    </w:p>
    <w:p w:rsidR="00582DE2" w:rsidRDefault="00582DE2" w:rsidP="00582DE2">
      <w:pPr>
        <w:numPr>
          <w:ilvl w:val="0"/>
          <w:numId w:val="9"/>
        </w:numPr>
        <w:suppressAutoHyphens/>
        <w:autoSpaceDE w:val="0"/>
        <w:autoSpaceDN w:val="0"/>
        <w:spacing w:before="100"/>
        <w:jc w:val="both"/>
        <w:textAlignment w:val="baseline"/>
        <w:rPr>
          <w:rFonts w:ascii="Arial" w:hAnsi="Arial" w:cs="Arial"/>
          <w:sz w:val="21"/>
          <w:szCs w:val="21"/>
        </w:rPr>
      </w:pPr>
      <w:r>
        <w:rPr>
          <w:rFonts w:ascii="Arial" w:hAnsi="Arial" w:cs="Arial"/>
          <w:sz w:val="21"/>
          <w:szCs w:val="21"/>
        </w:rPr>
        <w:t>la continuità con le azioni intraprese con i precedenti Piani Triennali di Prevenzione della Corruzione e della Trasparenza.</w:t>
      </w:r>
    </w:p>
    <w:p w:rsidR="00582DE2" w:rsidRDefault="00582DE2" w:rsidP="00582DE2">
      <w:pPr>
        <w:autoSpaceDE w:val="0"/>
        <w:spacing w:before="100"/>
        <w:jc w:val="both"/>
      </w:pPr>
      <w:r>
        <w:rPr>
          <w:rFonts w:ascii="Arial" w:hAnsi="Arial" w:cs="Arial"/>
          <w:sz w:val="21"/>
          <w:szCs w:val="21"/>
        </w:rPr>
        <w:t>Come precisato nel PNA 2019 “per essere efficace, la prevenzione della corruzione, deve consistere in misure di ampio spettro, che riducano, all’interno delle amministrazioni, il rischio che i pubblici funzionari adottino atti di natura corruttiva (in senso proprio). Esse, pertanto, si sostanziano tanto in misure di carattere organizzativo, oggettivo, quanto in misure di carattere comportamentale, soggettivo”.</w:t>
      </w:r>
      <w:r>
        <w:rPr>
          <w:rFonts w:ascii="Arial" w:hAnsi="Arial" w:cs="Arial"/>
          <w:sz w:val="21"/>
          <w:szCs w:val="21"/>
          <w:shd w:val="clear" w:color="auto" w:fill="00FFFF"/>
        </w:rPr>
        <w:t xml:space="preserve"> </w:t>
      </w:r>
    </w:p>
    <w:p w:rsidR="00582DE2" w:rsidRDefault="00582DE2" w:rsidP="00582DE2">
      <w:pPr>
        <w:spacing w:before="100"/>
        <w:jc w:val="both"/>
        <w:rPr>
          <w:rFonts w:ascii="Calibri" w:hAnsi="Calibri"/>
          <w:sz w:val="22"/>
          <w:szCs w:val="22"/>
        </w:rPr>
      </w:pPr>
    </w:p>
    <w:p w:rsidR="00582DE2" w:rsidRPr="00316668" w:rsidRDefault="00582DE2" w:rsidP="00316668">
      <w:pPr>
        <w:keepNext/>
        <w:spacing w:before="240" w:after="60" w:line="276" w:lineRule="auto"/>
        <w:rPr>
          <w:rFonts w:ascii="Calibri" w:hAnsi="Calibri"/>
          <w:b/>
        </w:rPr>
      </w:pPr>
      <w:r w:rsidRPr="00316668">
        <w:rPr>
          <w:rFonts w:ascii="Calibri" w:hAnsi="Calibri"/>
          <w:b/>
        </w:rPr>
        <w:t xml:space="preserve">2.2. SENSIBILIZZAZIONE DEI RESPONSABILI DEGLI UFFICI E CONDIVISIONE DELL’APPROCCIO </w:t>
      </w:r>
    </w:p>
    <w:p w:rsidR="00582DE2" w:rsidRDefault="00582DE2" w:rsidP="00582DE2">
      <w:pPr>
        <w:pStyle w:val="Standard"/>
        <w:spacing w:before="100" w:after="0" w:line="240" w:lineRule="auto"/>
        <w:jc w:val="both"/>
        <w:rPr>
          <w:rFonts w:ascii="Arial" w:hAnsi="Arial" w:cs="Arial"/>
          <w:sz w:val="21"/>
          <w:szCs w:val="21"/>
        </w:rPr>
      </w:pPr>
      <w:r>
        <w:rPr>
          <w:rFonts w:ascii="Arial" w:hAnsi="Arial" w:cs="Arial"/>
          <w:sz w:val="21"/>
          <w:szCs w:val="21"/>
        </w:rPr>
        <w:t>Il primo passo compiuto nella direzione auspicata è stato quello di far crescere all’interno del Comune la consapevolezza sul problema dell’integrità dei comportamenti.</w:t>
      </w:r>
    </w:p>
    <w:p w:rsidR="00582DE2" w:rsidRDefault="00582DE2" w:rsidP="00582DE2">
      <w:pPr>
        <w:pStyle w:val="Standard"/>
        <w:spacing w:before="100" w:after="0" w:line="240" w:lineRule="auto"/>
        <w:jc w:val="both"/>
      </w:pPr>
      <w:r>
        <w:rPr>
          <w:rFonts w:ascii="Arial" w:hAnsi="Arial" w:cs="Arial"/>
          <w:sz w:val="21"/>
          <w:szCs w:val="21"/>
        </w:rPr>
        <w:t xml:space="preserve">In coerenza con l’importanza della condivisione delle finalità e del metodo di costruzione del Piano, in questa fase formativa si è provveduto – in più incontri specifici - alla </w:t>
      </w:r>
      <w:r>
        <w:rPr>
          <w:rFonts w:ascii="Arial" w:hAnsi="Arial" w:cs="Arial"/>
          <w:b/>
          <w:sz w:val="21"/>
          <w:szCs w:val="21"/>
        </w:rPr>
        <w:t>sensibilizzazione e al coinvolgimento dei Responsabili degli uffici.</w:t>
      </w:r>
    </w:p>
    <w:p w:rsidR="00582DE2" w:rsidRDefault="00582DE2" w:rsidP="00582DE2">
      <w:pPr>
        <w:pStyle w:val="Standard"/>
        <w:spacing w:before="100" w:after="0" w:line="240" w:lineRule="auto"/>
        <w:jc w:val="both"/>
      </w:pPr>
      <w:r>
        <w:rPr>
          <w:rFonts w:ascii="Arial" w:hAnsi="Arial" w:cs="Arial"/>
          <w:sz w:val="21"/>
          <w:szCs w:val="21"/>
        </w:rPr>
        <w:t>Poiché nel Comune di Telve</w:t>
      </w:r>
      <w:r w:rsidR="00AE18B4">
        <w:rPr>
          <w:rFonts w:ascii="Arial" w:hAnsi="Arial" w:cs="Arial"/>
          <w:sz w:val="21"/>
          <w:szCs w:val="21"/>
        </w:rPr>
        <w:t xml:space="preserve"> di Sopra</w:t>
      </w:r>
      <w:r>
        <w:rPr>
          <w:rFonts w:ascii="Arial" w:hAnsi="Arial" w:cs="Arial"/>
          <w:sz w:val="21"/>
          <w:szCs w:val="21"/>
        </w:rPr>
        <w:t>, in forza del Codice degli Enti Locali della regione autonoma Trentino Alto-Adige approvato con Legge regionale 3 maggio 2018, n. 2, gli Amministratori assumono compiti anche di natura gestionale, la loro partecipazione a questo processo è doverosa oltre che strategica, sia in termini di indirizzo politico – amministrativo che di condivisione dei principi di sana ed integra gestione della cosa pubblica.</w:t>
      </w:r>
    </w:p>
    <w:p w:rsidR="00582DE2" w:rsidRDefault="00582DE2" w:rsidP="00582DE2">
      <w:pPr>
        <w:pStyle w:val="Standard"/>
        <w:spacing w:before="100" w:after="0" w:line="240" w:lineRule="auto"/>
        <w:jc w:val="both"/>
        <w:rPr>
          <w:rFonts w:ascii="Arial" w:hAnsi="Arial" w:cs="Arial"/>
          <w:sz w:val="21"/>
          <w:szCs w:val="21"/>
        </w:rPr>
      </w:pPr>
      <w:r>
        <w:rPr>
          <w:rFonts w:ascii="Arial" w:hAnsi="Arial" w:cs="Arial"/>
          <w:sz w:val="21"/>
          <w:szCs w:val="21"/>
        </w:rPr>
        <w:t>Per questo si è provveduto al loro coinvolgimento e ad una loro sensibilizzazione in itinere al processo di progettazione del presente Piano.</w:t>
      </w:r>
    </w:p>
    <w:p w:rsidR="00582DE2" w:rsidRDefault="00582DE2" w:rsidP="00582DE2">
      <w:pPr>
        <w:pStyle w:val="Standard"/>
        <w:spacing w:before="100" w:after="0" w:line="240" w:lineRule="auto"/>
        <w:jc w:val="both"/>
        <w:rPr>
          <w:rFonts w:ascii="Arial" w:hAnsi="Arial" w:cs="Arial"/>
          <w:sz w:val="21"/>
          <w:szCs w:val="21"/>
        </w:rPr>
      </w:pPr>
      <w:r>
        <w:rPr>
          <w:rFonts w:ascii="Arial" w:hAnsi="Arial" w:cs="Arial"/>
          <w:sz w:val="21"/>
          <w:szCs w:val="21"/>
        </w:rPr>
        <w:t>Ciò consente da un lato di prevenire i rischi per danni all'immagine derivanti da comportamenti scorretti o illegali del personale, dall’altro di rendere il sistema di azioni e misure sviluppate efficace e funzionale anche per il presidio della corretta gestione dell’Amministrazione.</w:t>
      </w:r>
    </w:p>
    <w:p w:rsidR="00582DE2" w:rsidRDefault="00582DE2" w:rsidP="00582DE2">
      <w:pPr>
        <w:pStyle w:val="Standard"/>
        <w:spacing w:before="100" w:after="0" w:line="240" w:lineRule="auto"/>
        <w:jc w:val="both"/>
        <w:rPr>
          <w:rFonts w:ascii="Arial" w:hAnsi="Arial" w:cs="Arial"/>
          <w:sz w:val="21"/>
          <w:szCs w:val="21"/>
        </w:rPr>
      </w:pPr>
    </w:p>
    <w:p w:rsidR="00582DE2" w:rsidRPr="006F17AE" w:rsidRDefault="00582DE2" w:rsidP="006F17AE">
      <w:pPr>
        <w:pStyle w:val="Titolo2"/>
        <w:jc w:val="left"/>
        <w:rPr>
          <w:rFonts w:ascii="Calibri" w:hAnsi="Calibri" w:cs="Times New Roman"/>
          <w:bCs w:val="0"/>
          <w:sz w:val="24"/>
        </w:rPr>
      </w:pPr>
      <w:r w:rsidRPr="006F17AE">
        <w:rPr>
          <w:rFonts w:ascii="Calibri" w:hAnsi="Calibri" w:cs="Times New Roman"/>
          <w:bCs w:val="0"/>
          <w:sz w:val="24"/>
        </w:rPr>
        <w:t xml:space="preserve">2.3. IL SUPPORTO DEL CONSORZIO DEI COMUNI TRENTINI </w:t>
      </w:r>
    </w:p>
    <w:p w:rsidR="00582DE2" w:rsidRDefault="00582DE2" w:rsidP="00582DE2">
      <w:pPr>
        <w:autoSpaceDE w:val="0"/>
        <w:spacing w:before="100"/>
        <w:jc w:val="both"/>
        <w:rPr>
          <w:rFonts w:ascii="Arial" w:hAnsi="Arial" w:cs="Arial"/>
          <w:sz w:val="21"/>
          <w:szCs w:val="21"/>
        </w:rPr>
      </w:pPr>
      <w:r>
        <w:rPr>
          <w:rFonts w:ascii="Arial" w:hAnsi="Arial" w:cs="Arial"/>
          <w:sz w:val="21"/>
          <w:szCs w:val="21"/>
        </w:rPr>
        <w:t>Per avviare il processo di costruzione del Piano, nonché per il suo monitoraggio, il Comune si è avvalso del supporto di Formazione del Consorzio dei Comuni Trentini, e del tutoraggio dallo stesso garantito. Lungo il percorso assistito è stato possibile affinare e omogeneizzare la metodologia di analisi e gestione dei rischi e di costruzione delle azioni di miglioramento, anche grazie al confronto con realtà omogenee del territorio.</w:t>
      </w:r>
    </w:p>
    <w:p w:rsidR="00582DE2" w:rsidRDefault="00582DE2" w:rsidP="00582DE2">
      <w:pPr>
        <w:autoSpaceDE w:val="0"/>
        <w:spacing w:before="100"/>
        <w:jc w:val="both"/>
        <w:rPr>
          <w:rFonts w:ascii="Arial" w:hAnsi="Arial" w:cs="Arial"/>
          <w:sz w:val="21"/>
          <w:szCs w:val="21"/>
        </w:rPr>
      </w:pPr>
    </w:p>
    <w:p w:rsidR="00582DE2" w:rsidRPr="006F17AE" w:rsidRDefault="00582DE2" w:rsidP="006F17AE">
      <w:pPr>
        <w:keepNext/>
        <w:spacing w:before="240" w:after="60" w:line="276" w:lineRule="auto"/>
        <w:rPr>
          <w:rFonts w:ascii="Calibri" w:hAnsi="Calibri"/>
          <w:b/>
        </w:rPr>
      </w:pPr>
      <w:r w:rsidRPr="006F17AE">
        <w:rPr>
          <w:rFonts w:ascii="Calibri" w:hAnsi="Calibri"/>
          <w:b/>
        </w:rPr>
        <w:t xml:space="preserve">2.4. AZIONI PREVENTIVE E CONTROLLI </w:t>
      </w:r>
    </w:p>
    <w:p w:rsidR="00582DE2" w:rsidRDefault="00582DE2" w:rsidP="00582DE2">
      <w:pPr>
        <w:pStyle w:val="Standard"/>
        <w:tabs>
          <w:tab w:val="left" w:pos="1440"/>
        </w:tabs>
        <w:spacing w:before="100" w:after="0" w:line="240" w:lineRule="auto"/>
        <w:jc w:val="both"/>
      </w:pPr>
      <w:r>
        <w:rPr>
          <w:rFonts w:ascii="Arial" w:hAnsi="Arial" w:cs="Arial"/>
          <w:sz w:val="21"/>
          <w:szCs w:val="21"/>
        </w:rPr>
        <w:t xml:space="preserve">Per ogni processo, sono stati evidenziati i rischi, le azioni preventive, la previsione dei tempi e il titolare della misura. Tale strutturazione delle azioni e quantificazione dei risultati attesi rende possibile il </w:t>
      </w:r>
      <w:r>
        <w:rPr>
          <w:rFonts w:ascii="Arial" w:hAnsi="Arial" w:cs="Arial"/>
          <w:b/>
          <w:sz w:val="21"/>
          <w:szCs w:val="21"/>
        </w:rPr>
        <w:t>monitoraggio periodico del Piano</w:t>
      </w:r>
      <w:r>
        <w:rPr>
          <w:rFonts w:ascii="Arial" w:hAnsi="Arial" w:cs="Arial"/>
          <w:sz w:val="21"/>
          <w:szCs w:val="21"/>
        </w:rPr>
        <w:t xml:space="preserve"> di prevenzione della corruzione, in relazione alle scadenze temporali e alle responsabilità delle azioni e dei sistemi di controllo messe in evidenza nel piano stesso.</w:t>
      </w:r>
    </w:p>
    <w:p w:rsidR="00582DE2" w:rsidRDefault="00582DE2" w:rsidP="00582DE2">
      <w:pPr>
        <w:pStyle w:val="Standard"/>
        <w:tabs>
          <w:tab w:val="left" w:pos="1440"/>
        </w:tabs>
        <w:spacing w:before="100" w:after="0" w:line="240" w:lineRule="auto"/>
        <w:jc w:val="both"/>
        <w:rPr>
          <w:rFonts w:ascii="Arial" w:hAnsi="Arial" w:cs="Arial"/>
          <w:sz w:val="21"/>
          <w:szCs w:val="21"/>
        </w:rPr>
      </w:pPr>
      <w:r>
        <w:rPr>
          <w:rFonts w:ascii="Arial" w:hAnsi="Arial" w:cs="Arial"/>
          <w:sz w:val="21"/>
          <w:szCs w:val="21"/>
        </w:rPr>
        <w:t>Attraverso l’attività di monitoraggio e valutazione dell’attuazione del Piano sarà possibile migliorare nel tempo la sua formalizzazione e la sua efficacia.</w:t>
      </w:r>
    </w:p>
    <w:p w:rsidR="00582DE2" w:rsidRDefault="00582DE2" w:rsidP="00582DE2">
      <w:pPr>
        <w:pStyle w:val="Standard"/>
        <w:tabs>
          <w:tab w:val="left" w:pos="1440"/>
        </w:tabs>
        <w:spacing w:before="100" w:after="0" w:line="240" w:lineRule="auto"/>
        <w:jc w:val="both"/>
        <w:rPr>
          <w:rFonts w:ascii="Arial" w:hAnsi="Arial" w:cs="Arial"/>
          <w:sz w:val="21"/>
          <w:szCs w:val="21"/>
        </w:rPr>
      </w:pPr>
    </w:p>
    <w:p w:rsidR="00582DE2" w:rsidRPr="006F17AE" w:rsidRDefault="00582DE2" w:rsidP="006F17AE">
      <w:pPr>
        <w:keepNext/>
        <w:spacing w:before="240" w:after="60" w:line="276" w:lineRule="auto"/>
        <w:rPr>
          <w:rFonts w:ascii="Calibri" w:hAnsi="Calibri"/>
          <w:b/>
        </w:rPr>
      </w:pPr>
      <w:r w:rsidRPr="006F17AE">
        <w:rPr>
          <w:rFonts w:ascii="Calibri" w:hAnsi="Calibri"/>
          <w:b/>
        </w:rPr>
        <w:t xml:space="preserve">2.5. STESURA E APPROVAZIONE DEL PTPCT </w:t>
      </w:r>
    </w:p>
    <w:p w:rsidR="00582DE2" w:rsidRDefault="00582DE2" w:rsidP="00582DE2">
      <w:pPr>
        <w:pStyle w:val="Standard"/>
        <w:spacing w:before="100" w:after="0" w:line="240" w:lineRule="auto"/>
        <w:jc w:val="both"/>
        <w:rPr>
          <w:rFonts w:ascii="Arial" w:hAnsi="Arial" w:cs="Arial"/>
          <w:sz w:val="21"/>
          <w:szCs w:val="21"/>
        </w:rPr>
      </w:pPr>
      <w:r>
        <w:rPr>
          <w:rFonts w:ascii="Arial" w:hAnsi="Arial" w:cs="Arial"/>
          <w:sz w:val="21"/>
          <w:szCs w:val="21"/>
        </w:rPr>
        <w:t xml:space="preserve">La stesura del presente Piano Triennale di prevenzione della corruzione e della trasparenza è stata quindi realizzata partendo dal piano approvato nel gennaio 2020, mettendo a sistema per l’anno 2021 le azioni operative che nel corso dell’anno hanno dato un positivo riscontro e rivalutando la fattibilità di quelle da concretizzarsi nel biennio futuro. Particolare attenzione è stata posta nel garantire la “fattibilità” delle </w:t>
      </w:r>
      <w:r>
        <w:rPr>
          <w:rFonts w:ascii="Arial" w:hAnsi="Arial" w:cs="Arial"/>
          <w:sz w:val="21"/>
          <w:szCs w:val="21"/>
        </w:rPr>
        <w:lastRenderedPageBreak/>
        <w:t>azioni previste, sia in termini operativi che finanziari (evitando spese o investimenti non coerenti con le possibilità finanziarie dell’Ente), attraverso la verifica della coerenza rispetto agli altri strumenti di programmazione dell’Ente (Relazione Previsionale e Programmatica, Bilancio di previsione, Atto di indirizzo generale, ecc.).</w:t>
      </w:r>
    </w:p>
    <w:p w:rsidR="00582DE2" w:rsidRDefault="00582DE2" w:rsidP="00582DE2">
      <w:pPr>
        <w:pStyle w:val="Standard"/>
        <w:spacing w:before="100" w:after="0" w:line="240" w:lineRule="auto"/>
        <w:jc w:val="both"/>
        <w:rPr>
          <w:rFonts w:ascii="Arial" w:hAnsi="Arial" w:cs="Arial"/>
          <w:sz w:val="21"/>
          <w:szCs w:val="21"/>
        </w:rPr>
      </w:pPr>
    </w:p>
    <w:p w:rsidR="00582DE2" w:rsidRPr="00572E22" w:rsidRDefault="00582DE2" w:rsidP="00572E22">
      <w:pPr>
        <w:keepNext/>
        <w:spacing w:before="240" w:after="60" w:line="276" w:lineRule="auto"/>
        <w:rPr>
          <w:rFonts w:ascii="Calibri" w:hAnsi="Calibri"/>
          <w:b/>
        </w:rPr>
      </w:pPr>
      <w:r w:rsidRPr="00572E22">
        <w:rPr>
          <w:rFonts w:ascii="Calibri" w:hAnsi="Calibri"/>
          <w:b/>
        </w:rPr>
        <w:t xml:space="preserve">2.6. COORDINAMENTO CON GLI STRUMENTI DI PROGRAMMAZIONE DELL’ENTE </w:t>
      </w:r>
    </w:p>
    <w:p w:rsidR="00582DE2" w:rsidRDefault="00582DE2" w:rsidP="00582DE2">
      <w:pPr>
        <w:pStyle w:val="Standard"/>
        <w:spacing w:before="100"/>
        <w:jc w:val="both"/>
        <w:rPr>
          <w:rFonts w:ascii="Arial" w:hAnsi="Arial" w:cs="Arial"/>
          <w:sz w:val="21"/>
          <w:szCs w:val="21"/>
        </w:rPr>
      </w:pPr>
      <w:r w:rsidRPr="00E025F6">
        <w:rPr>
          <w:rFonts w:ascii="Arial" w:hAnsi="Arial" w:cs="Arial"/>
          <w:sz w:val="21"/>
          <w:szCs w:val="21"/>
        </w:rPr>
        <w:t xml:space="preserve">Il Presente Piano si collega con </w:t>
      </w:r>
      <w:r w:rsidR="00572E22" w:rsidRPr="00E025F6">
        <w:rPr>
          <w:rFonts w:ascii="Arial" w:hAnsi="Arial" w:cs="Arial"/>
          <w:sz w:val="21"/>
          <w:szCs w:val="21"/>
        </w:rPr>
        <w:t xml:space="preserve">gli obiettivi generali e strategici </w:t>
      </w:r>
      <w:r w:rsidRPr="00E025F6">
        <w:rPr>
          <w:rFonts w:ascii="Arial" w:hAnsi="Arial" w:cs="Arial"/>
          <w:sz w:val="21"/>
          <w:szCs w:val="21"/>
        </w:rPr>
        <w:t>dell'amministrazione, tenuto conto degli indirizzi espressi dal</w:t>
      </w:r>
      <w:r w:rsidR="009E4205" w:rsidRPr="00E025F6">
        <w:rPr>
          <w:rFonts w:ascii="Arial" w:hAnsi="Arial" w:cs="Arial"/>
          <w:sz w:val="21"/>
          <w:szCs w:val="21"/>
        </w:rPr>
        <w:t xml:space="preserve"> Consiglio Comunale nel DUP 2022-2024</w:t>
      </w:r>
      <w:r w:rsidRPr="00E025F6">
        <w:rPr>
          <w:rFonts w:ascii="Arial" w:hAnsi="Arial" w:cs="Arial"/>
          <w:sz w:val="21"/>
          <w:szCs w:val="21"/>
        </w:rPr>
        <w:t xml:space="preserve"> (del</w:t>
      </w:r>
      <w:r w:rsidR="00021AD3" w:rsidRPr="00E025F6">
        <w:rPr>
          <w:rFonts w:ascii="Arial" w:hAnsi="Arial" w:cs="Arial"/>
          <w:sz w:val="21"/>
          <w:szCs w:val="21"/>
        </w:rPr>
        <w:t>ibera di Consiglio comunale n. 10 di data 25.01.2022</w:t>
      </w:r>
      <w:r w:rsidRPr="00E025F6">
        <w:rPr>
          <w:rFonts w:ascii="Arial" w:hAnsi="Arial" w:cs="Arial"/>
          <w:sz w:val="21"/>
          <w:szCs w:val="21"/>
        </w:rPr>
        <w:t>)</w:t>
      </w:r>
      <w:r w:rsidR="00572E22" w:rsidRPr="00E025F6">
        <w:rPr>
          <w:rFonts w:ascii="Arial" w:hAnsi="Arial" w:cs="Arial"/>
          <w:sz w:val="21"/>
          <w:szCs w:val="21"/>
        </w:rPr>
        <w:t>.</w:t>
      </w:r>
    </w:p>
    <w:p w:rsidR="00582DE2" w:rsidRDefault="00582DE2" w:rsidP="00582DE2">
      <w:pPr>
        <w:pStyle w:val="Standard"/>
        <w:spacing w:before="100" w:after="0" w:line="240" w:lineRule="auto"/>
        <w:jc w:val="both"/>
        <w:rPr>
          <w:rFonts w:ascii="Arial" w:hAnsi="Arial" w:cs="Arial"/>
          <w:sz w:val="21"/>
          <w:szCs w:val="21"/>
        </w:rPr>
      </w:pPr>
      <w:r>
        <w:rPr>
          <w:rFonts w:ascii="Arial" w:hAnsi="Arial" w:cs="Arial"/>
          <w:sz w:val="21"/>
          <w:szCs w:val="21"/>
        </w:rPr>
        <w:t xml:space="preserve">Come espressamente stabilito dal Piano Nazionale Anticorruzione 2019, deve essere assicurato un adeguato coordinamento tra il Piano e gli strumenti di programmazione dell’Ente, tra cui in particolare il Piano delle performance.  </w:t>
      </w:r>
    </w:p>
    <w:p w:rsidR="00582DE2" w:rsidRDefault="00582DE2" w:rsidP="00582DE2">
      <w:pPr>
        <w:pStyle w:val="Standard"/>
        <w:spacing w:before="100" w:after="0" w:line="240" w:lineRule="auto"/>
        <w:jc w:val="both"/>
        <w:rPr>
          <w:rFonts w:ascii="Arial" w:hAnsi="Arial" w:cs="Arial"/>
          <w:sz w:val="21"/>
          <w:szCs w:val="21"/>
        </w:rPr>
      </w:pPr>
      <w:r>
        <w:rPr>
          <w:rFonts w:ascii="Arial" w:hAnsi="Arial" w:cs="Arial"/>
          <w:sz w:val="21"/>
          <w:szCs w:val="21"/>
        </w:rPr>
        <w:t>L’Amministrazione garantisce il necessario coordinamento, nelle fasi di progettazione e di costruzione, tra il presente Piano ed il Piano esecutivo di gestione, corrispondente a livello locale al Piano delle performance. Gli obiettivi strategici in materia di prevenzione della corruzione e di trasparenza vengono pertanto coordinati con quelli previsti nel Piano esecutivo di gestione, allo scopo di assicurare una maggiore efficacia nella realizzazione delle misure di prevenzione. Nel Piano esecutivo di gestione verranno individuati ed assegnati ai Responsabili di Area puntuali obiettivi in ordine:</w:t>
      </w:r>
    </w:p>
    <w:p w:rsidR="00582DE2" w:rsidRDefault="00582DE2" w:rsidP="00582DE2">
      <w:pPr>
        <w:pStyle w:val="Standard"/>
        <w:spacing w:before="100" w:after="0" w:line="240" w:lineRule="auto"/>
        <w:jc w:val="both"/>
        <w:rPr>
          <w:rFonts w:ascii="Arial" w:hAnsi="Arial" w:cs="Arial"/>
          <w:sz w:val="21"/>
          <w:szCs w:val="21"/>
        </w:rPr>
      </w:pPr>
      <w:r>
        <w:rPr>
          <w:rFonts w:ascii="Arial" w:hAnsi="Arial" w:cs="Arial"/>
          <w:sz w:val="21"/>
          <w:szCs w:val="21"/>
        </w:rPr>
        <w:t xml:space="preserve"> - all’applicazione, relativamente ai processi di rispettiva competenza, del sistema di misure e controlli previsto dal presente Piano; </w:t>
      </w:r>
    </w:p>
    <w:p w:rsidR="00582DE2" w:rsidRDefault="00582DE2" w:rsidP="00582DE2">
      <w:pPr>
        <w:pStyle w:val="Standard"/>
        <w:spacing w:before="100" w:after="0" w:line="240" w:lineRule="auto"/>
        <w:jc w:val="both"/>
        <w:rPr>
          <w:rFonts w:ascii="Arial" w:hAnsi="Arial" w:cs="Arial"/>
          <w:sz w:val="21"/>
          <w:szCs w:val="21"/>
        </w:rPr>
      </w:pPr>
      <w:r>
        <w:rPr>
          <w:rFonts w:ascii="Arial" w:hAnsi="Arial" w:cs="Arial"/>
          <w:sz w:val="21"/>
          <w:szCs w:val="21"/>
        </w:rPr>
        <w:t xml:space="preserve">- allo svolgimento di un’attività di monitoraggio sulla gestione delle misure di trattamento dei rischi di corruzione; </w:t>
      </w:r>
    </w:p>
    <w:p w:rsidR="00582DE2" w:rsidRDefault="00582DE2" w:rsidP="00582DE2">
      <w:pPr>
        <w:pStyle w:val="Standard"/>
        <w:spacing w:before="100" w:after="0" w:line="240" w:lineRule="auto"/>
        <w:jc w:val="both"/>
        <w:rPr>
          <w:rFonts w:ascii="Arial" w:hAnsi="Arial" w:cs="Arial"/>
          <w:sz w:val="21"/>
          <w:szCs w:val="21"/>
        </w:rPr>
      </w:pPr>
      <w:r>
        <w:rPr>
          <w:rFonts w:ascii="Arial" w:hAnsi="Arial" w:cs="Arial"/>
          <w:sz w:val="21"/>
          <w:szCs w:val="21"/>
        </w:rPr>
        <w:t>- alla costante trasmissione dei documenti, delle informazioni e dei dati di rispettiva competenza, ai fini dell’assolvimento degli obblighi di pubblicità e trasparenza di cui al D. Lgs. 14.03.2013 n. 33, come modificato dal D. Lgs. 25.05.2016 n. 97, e alla L.R. 24.10.2014 n. 10, come modificata dalla L.R. 15.12.2016 n. 16.</w:t>
      </w:r>
    </w:p>
    <w:p w:rsidR="00582DE2" w:rsidRDefault="00582DE2" w:rsidP="00582DE2">
      <w:pPr>
        <w:spacing w:before="100"/>
        <w:jc w:val="both"/>
        <w:rPr>
          <w:rFonts w:ascii="Arial" w:hAnsi="Arial" w:cs="Arial"/>
          <w:sz w:val="21"/>
          <w:szCs w:val="21"/>
        </w:rPr>
      </w:pPr>
    </w:p>
    <w:p w:rsidR="00582DE2" w:rsidRDefault="00582DE2" w:rsidP="00582DE2">
      <w:pPr>
        <w:keepNext/>
        <w:spacing w:before="240" w:after="60" w:line="276" w:lineRule="auto"/>
        <w:rPr>
          <w:rFonts w:ascii="Calibri" w:hAnsi="Calibri"/>
          <w:b/>
        </w:rPr>
      </w:pPr>
      <w:r>
        <w:rPr>
          <w:rFonts w:ascii="Calibri" w:hAnsi="Calibri"/>
          <w:b/>
        </w:rPr>
        <w:t xml:space="preserve">3. PRINCIPIO DI DELEGA – OBBLIGO DI COLLABORAZIONE – CORRESPONSABILITÀ </w:t>
      </w:r>
    </w:p>
    <w:p w:rsidR="00582DE2" w:rsidRDefault="00582DE2" w:rsidP="00582DE2">
      <w:pPr>
        <w:tabs>
          <w:tab w:val="left" w:pos="447"/>
        </w:tabs>
        <w:autoSpaceDE w:val="0"/>
        <w:spacing w:before="100"/>
        <w:jc w:val="both"/>
        <w:rPr>
          <w:rFonts w:ascii="Arial" w:hAnsi="Arial" w:cs="Arial"/>
          <w:sz w:val="21"/>
          <w:szCs w:val="21"/>
        </w:rPr>
      </w:pPr>
      <w:r>
        <w:rPr>
          <w:rFonts w:ascii="Arial" w:hAnsi="Arial" w:cs="Arial"/>
          <w:sz w:val="21"/>
          <w:szCs w:val="21"/>
        </w:rPr>
        <w:t>La progettazione del presente Piano, nel rispetto del principio funzionale della delega – prevede il coinvolgimento dei Responsabili delle varie strutture dell’Ente. In questa logica si ribadiscono in capo alle figure apicali l’obbligo di collaborazione attiva e la corresponsabilità nella promozione ed adozione di tutte le misure atte a garantire l’integrità dei comportamenti individuali nell’organizzazione.</w:t>
      </w:r>
    </w:p>
    <w:p w:rsidR="00582DE2" w:rsidRDefault="00582DE2" w:rsidP="00582DE2">
      <w:pPr>
        <w:tabs>
          <w:tab w:val="left" w:pos="447"/>
        </w:tabs>
        <w:autoSpaceDE w:val="0"/>
        <w:spacing w:before="100"/>
        <w:jc w:val="both"/>
        <w:rPr>
          <w:rFonts w:ascii="Arial" w:hAnsi="Arial" w:cs="Arial"/>
          <w:sz w:val="21"/>
          <w:szCs w:val="21"/>
        </w:rPr>
      </w:pPr>
      <w:r>
        <w:rPr>
          <w:rFonts w:ascii="Arial" w:hAnsi="Arial" w:cs="Arial"/>
          <w:sz w:val="21"/>
          <w:szCs w:val="21"/>
        </w:rPr>
        <w:t>A questi fini si è provveduto al trasferimento e all’assegnazione, a detti Responsabili, delle seguenti funzioni:</w:t>
      </w:r>
    </w:p>
    <w:p w:rsidR="00582DE2" w:rsidRDefault="00582DE2" w:rsidP="00582DE2">
      <w:pPr>
        <w:widowControl w:val="0"/>
        <w:numPr>
          <w:ilvl w:val="0"/>
          <w:numId w:val="32"/>
        </w:numPr>
        <w:tabs>
          <w:tab w:val="left" w:pos="568"/>
        </w:tabs>
        <w:suppressAutoHyphens/>
        <w:autoSpaceDE w:val="0"/>
        <w:autoSpaceDN w:val="0"/>
        <w:spacing w:before="100"/>
        <w:ind w:left="284" w:hanging="284"/>
        <w:jc w:val="both"/>
        <w:textAlignment w:val="baseline"/>
        <w:rPr>
          <w:rFonts w:ascii="Arial" w:hAnsi="Arial" w:cs="Arial"/>
          <w:sz w:val="21"/>
          <w:szCs w:val="21"/>
        </w:rPr>
      </w:pPr>
      <w:r>
        <w:rPr>
          <w:rFonts w:ascii="Arial" w:hAnsi="Arial" w:cs="Arial"/>
          <w:sz w:val="21"/>
          <w:szCs w:val="21"/>
        </w:rPr>
        <w:t>Collaborazione per l’analisi organizzativa e l’individuazione delle varie criticità;</w:t>
      </w:r>
    </w:p>
    <w:p w:rsidR="00582DE2" w:rsidRDefault="00582DE2" w:rsidP="00582DE2">
      <w:pPr>
        <w:widowControl w:val="0"/>
        <w:numPr>
          <w:ilvl w:val="0"/>
          <w:numId w:val="8"/>
        </w:numPr>
        <w:tabs>
          <w:tab w:val="left" w:pos="568"/>
        </w:tabs>
        <w:suppressAutoHyphens/>
        <w:autoSpaceDE w:val="0"/>
        <w:autoSpaceDN w:val="0"/>
        <w:spacing w:before="100"/>
        <w:ind w:left="284" w:hanging="284"/>
        <w:jc w:val="both"/>
        <w:textAlignment w:val="baseline"/>
        <w:rPr>
          <w:rFonts w:ascii="Arial" w:hAnsi="Arial" w:cs="Arial"/>
          <w:sz w:val="21"/>
          <w:szCs w:val="21"/>
        </w:rPr>
      </w:pPr>
      <w:r>
        <w:rPr>
          <w:rFonts w:ascii="Arial" w:hAnsi="Arial" w:cs="Arial"/>
          <w:sz w:val="21"/>
          <w:szCs w:val="21"/>
        </w:rPr>
        <w:t>Collaborazione per la mappatura dei rischi all’interno delle singole unità organizzative e dei processi gestiti, mediante l’individuazione, la valutazione e la definizione degli indicatori di rischio;</w:t>
      </w:r>
    </w:p>
    <w:p w:rsidR="00582DE2" w:rsidRDefault="00582DE2" w:rsidP="00582DE2">
      <w:pPr>
        <w:widowControl w:val="0"/>
        <w:numPr>
          <w:ilvl w:val="0"/>
          <w:numId w:val="8"/>
        </w:numPr>
        <w:tabs>
          <w:tab w:val="left" w:pos="568"/>
        </w:tabs>
        <w:suppressAutoHyphens/>
        <w:autoSpaceDE w:val="0"/>
        <w:autoSpaceDN w:val="0"/>
        <w:spacing w:before="100"/>
        <w:ind w:left="284" w:hanging="284"/>
        <w:jc w:val="both"/>
        <w:textAlignment w:val="baseline"/>
        <w:rPr>
          <w:rFonts w:ascii="Arial" w:hAnsi="Arial" w:cs="Arial"/>
          <w:sz w:val="21"/>
          <w:szCs w:val="21"/>
        </w:rPr>
      </w:pPr>
      <w:r>
        <w:rPr>
          <w:rFonts w:ascii="Arial" w:hAnsi="Arial" w:cs="Arial"/>
          <w:sz w:val="21"/>
          <w:szCs w:val="21"/>
        </w:rPr>
        <w:t>Progettazione e formalizzazione delle azioni e degli interventi necessari e sufficienti a prevenire la corruzione e i comportamenti non integri da parte dei collaboratori in occasione di lavoro;</w:t>
      </w:r>
    </w:p>
    <w:p w:rsidR="00582DE2" w:rsidRDefault="00582DE2" w:rsidP="00582DE2">
      <w:pPr>
        <w:widowControl w:val="0"/>
        <w:numPr>
          <w:ilvl w:val="0"/>
          <w:numId w:val="8"/>
        </w:numPr>
        <w:tabs>
          <w:tab w:val="left" w:pos="568"/>
        </w:tabs>
        <w:suppressAutoHyphens/>
        <w:autoSpaceDE w:val="0"/>
        <w:autoSpaceDN w:val="0"/>
        <w:spacing w:before="100"/>
        <w:ind w:left="284" w:hanging="284"/>
        <w:jc w:val="both"/>
        <w:textAlignment w:val="baseline"/>
      </w:pPr>
      <w:r>
        <w:rPr>
          <w:rFonts w:ascii="Arial" w:hAnsi="Arial" w:cs="Arial"/>
          <w:sz w:val="21"/>
          <w:szCs w:val="21"/>
        </w:rPr>
        <w:t>Monitoraggio delle azioni previste nel piano dell’anno 2020;</w:t>
      </w:r>
    </w:p>
    <w:p w:rsidR="00582DE2" w:rsidRDefault="00582DE2" w:rsidP="00582DE2">
      <w:pPr>
        <w:widowControl w:val="0"/>
        <w:numPr>
          <w:ilvl w:val="0"/>
          <w:numId w:val="8"/>
        </w:numPr>
        <w:tabs>
          <w:tab w:val="left" w:pos="568"/>
        </w:tabs>
        <w:suppressAutoHyphens/>
        <w:autoSpaceDE w:val="0"/>
        <w:autoSpaceDN w:val="0"/>
        <w:spacing w:before="100"/>
        <w:ind w:left="284" w:hanging="284"/>
        <w:jc w:val="both"/>
        <w:textAlignment w:val="baseline"/>
        <w:rPr>
          <w:rFonts w:ascii="Arial" w:hAnsi="Arial" w:cs="Arial"/>
          <w:sz w:val="21"/>
          <w:szCs w:val="21"/>
        </w:rPr>
      </w:pPr>
      <w:r>
        <w:rPr>
          <w:rFonts w:ascii="Arial" w:hAnsi="Arial" w:cs="Arial"/>
          <w:sz w:val="21"/>
          <w:szCs w:val="21"/>
        </w:rPr>
        <w:t>Collaborazione nella redazione dell’“Elenco obblighi di pubblicazione in Amministrazione Trasparente” allegato al Piano.</w:t>
      </w:r>
    </w:p>
    <w:p w:rsidR="00582DE2" w:rsidRDefault="00582DE2" w:rsidP="00582DE2">
      <w:pPr>
        <w:tabs>
          <w:tab w:val="left" w:pos="447"/>
        </w:tabs>
        <w:autoSpaceDE w:val="0"/>
        <w:spacing w:before="100"/>
        <w:jc w:val="both"/>
        <w:rPr>
          <w:rFonts w:ascii="Arial" w:hAnsi="Arial" w:cs="Arial"/>
          <w:sz w:val="21"/>
          <w:szCs w:val="21"/>
        </w:rPr>
      </w:pPr>
      <w:r>
        <w:rPr>
          <w:rFonts w:ascii="Arial" w:hAnsi="Arial" w:cs="Arial"/>
          <w:sz w:val="21"/>
          <w:szCs w:val="21"/>
        </w:rPr>
        <w:t>Si assume che attraverso l’introduzione e il potenziamento di regole generali di ordine procedurale, applicabili trasversalmente in tutti i settori, si potranno affrontare e risolvere anche criticità, disfunzioni e sovrapposizioni condizionanti la qualità e l'efficienza operativa dell'Amministrazione.</w:t>
      </w:r>
    </w:p>
    <w:p w:rsidR="00582DE2" w:rsidRDefault="00582DE2" w:rsidP="00582DE2">
      <w:pPr>
        <w:spacing w:before="100"/>
        <w:jc w:val="both"/>
        <w:rPr>
          <w:rFonts w:ascii="Arial" w:hAnsi="Arial" w:cs="Arial"/>
          <w:sz w:val="21"/>
          <w:szCs w:val="21"/>
        </w:rPr>
      </w:pPr>
    </w:p>
    <w:p w:rsidR="00582DE2" w:rsidRDefault="00582DE2" w:rsidP="00582DE2">
      <w:pPr>
        <w:keepNext/>
        <w:spacing w:before="240" w:after="60" w:line="276" w:lineRule="auto"/>
        <w:jc w:val="both"/>
        <w:rPr>
          <w:rFonts w:ascii="Calibri" w:hAnsi="Calibri"/>
          <w:b/>
        </w:rPr>
      </w:pPr>
      <w:bookmarkStart w:id="11" w:name="__RefHeading___Toc1940_761212699"/>
      <w:r>
        <w:rPr>
          <w:rFonts w:ascii="Calibri" w:hAnsi="Calibri"/>
          <w:b/>
        </w:rPr>
        <w:lastRenderedPageBreak/>
        <w:t>4. IL RESPONSABILE DELLA PREVENZIONE DELLA CORRUZIONE E DELLA TRASPARENZA (RPCT)</w:t>
      </w:r>
      <w:bookmarkEnd w:id="11"/>
    </w:p>
    <w:p w:rsidR="00582DE2" w:rsidRDefault="00582DE2" w:rsidP="00582DE2">
      <w:pPr>
        <w:spacing w:before="100"/>
        <w:jc w:val="both"/>
        <w:rPr>
          <w:rFonts w:ascii="Arial" w:hAnsi="Arial" w:cs="Arial"/>
          <w:spacing w:val="2"/>
          <w:sz w:val="21"/>
          <w:szCs w:val="21"/>
        </w:rPr>
      </w:pPr>
      <w:r>
        <w:rPr>
          <w:rFonts w:ascii="Arial" w:hAnsi="Arial" w:cs="Arial"/>
          <w:spacing w:val="2"/>
          <w:sz w:val="21"/>
          <w:szCs w:val="21"/>
        </w:rPr>
        <w:t>Il Responsabile per la Prevenzione della Corruzione e della Trasparenza (RPCT), unisce a sé l’incarico di Responsabile della prevenzione della corruzione e della trasparenza: ad esso sono riconosciuti poteri e funzioni idonei a garantire lo svolgimento dell’incarico con autonomia ed effettività.</w:t>
      </w:r>
    </w:p>
    <w:p w:rsidR="00582DE2" w:rsidRDefault="00582DE2" w:rsidP="00582DE2">
      <w:pPr>
        <w:spacing w:before="100"/>
        <w:jc w:val="both"/>
        <w:rPr>
          <w:rFonts w:ascii="Arial" w:hAnsi="Arial" w:cs="Arial"/>
          <w:spacing w:val="2"/>
          <w:sz w:val="21"/>
          <w:szCs w:val="21"/>
        </w:rPr>
      </w:pPr>
      <w:r>
        <w:rPr>
          <w:rFonts w:ascii="Arial" w:hAnsi="Arial" w:cs="Arial"/>
          <w:spacing w:val="2"/>
          <w:sz w:val="21"/>
          <w:szCs w:val="21"/>
        </w:rPr>
        <w:t>Il Responsabile di Prevenzione della Corruzione e della Trasparenza (RPCT) riveste un ruolo centrale nell'ambito della normativa e dell'organizzazione amministrativa di prevenzione della corruzione e della promozione della trasparenza. La legge n. 190/2012 prevede che ogni amministrazione pubblica nomini un Responsabile di Prevenzione della Corruzione e della Trasparenza, in possesso di particolari requisiti. Nei Comuni il RPCT è individuato, di norma, nel Segretario Generale, salva diversa e motivata determinazione ed è nominato dal Sindaco quale organo di indirizzo politico amministrativo dell'ente.</w:t>
      </w:r>
    </w:p>
    <w:p w:rsidR="00582DE2" w:rsidRDefault="00582DE2" w:rsidP="00582DE2">
      <w:pPr>
        <w:spacing w:before="100"/>
        <w:jc w:val="both"/>
        <w:rPr>
          <w:rFonts w:ascii="Arial" w:hAnsi="Arial" w:cs="Arial"/>
          <w:spacing w:val="2"/>
          <w:sz w:val="21"/>
          <w:szCs w:val="21"/>
        </w:rPr>
      </w:pPr>
      <w:r>
        <w:rPr>
          <w:rFonts w:ascii="Arial" w:hAnsi="Arial" w:cs="Arial"/>
          <w:spacing w:val="2"/>
          <w:sz w:val="21"/>
          <w:szCs w:val="21"/>
        </w:rPr>
        <w:t>Il ruolo e le funzioni del RPCT sono definiti dall’allegato 3 del PNA 2019. Lo stesso svolge la propria attività in condizioni di garanzia e indipendenza, e in particolare provvede:</w:t>
      </w:r>
    </w:p>
    <w:p w:rsidR="00582DE2" w:rsidRDefault="00582DE2" w:rsidP="00582DE2">
      <w:pPr>
        <w:numPr>
          <w:ilvl w:val="0"/>
          <w:numId w:val="33"/>
        </w:numPr>
        <w:suppressAutoHyphens/>
        <w:autoSpaceDN w:val="0"/>
        <w:spacing w:before="100"/>
        <w:jc w:val="both"/>
        <w:textAlignment w:val="baseline"/>
        <w:rPr>
          <w:rFonts w:ascii="Arial" w:hAnsi="Arial" w:cs="Arial"/>
          <w:spacing w:val="2"/>
          <w:sz w:val="21"/>
          <w:szCs w:val="21"/>
        </w:rPr>
      </w:pPr>
      <w:r>
        <w:rPr>
          <w:rFonts w:ascii="Arial" w:hAnsi="Arial" w:cs="Arial"/>
          <w:spacing w:val="2"/>
          <w:sz w:val="21"/>
          <w:szCs w:val="21"/>
        </w:rPr>
        <w:t>alla predisposizione del PTPCT entro i termini stabiliti;</w:t>
      </w:r>
    </w:p>
    <w:p w:rsidR="00582DE2" w:rsidRDefault="00582DE2" w:rsidP="00582DE2">
      <w:pPr>
        <w:numPr>
          <w:ilvl w:val="0"/>
          <w:numId w:val="33"/>
        </w:numPr>
        <w:suppressAutoHyphens/>
        <w:autoSpaceDN w:val="0"/>
        <w:spacing w:before="100"/>
        <w:jc w:val="both"/>
        <w:textAlignment w:val="baseline"/>
        <w:rPr>
          <w:rFonts w:ascii="Arial" w:hAnsi="Arial" w:cs="Arial"/>
          <w:spacing w:val="2"/>
          <w:sz w:val="21"/>
          <w:szCs w:val="21"/>
        </w:rPr>
      </w:pPr>
      <w:r>
        <w:rPr>
          <w:rFonts w:ascii="Arial" w:hAnsi="Arial" w:cs="Arial"/>
          <w:spacing w:val="2"/>
          <w:sz w:val="21"/>
          <w:szCs w:val="21"/>
        </w:rPr>
        <w:t>a proporre la modifica del Piano quando sono accertate significative violazioni delle prescrizioni ovvero quando intervengono mutamenti nell’organizzazione o nell’attività dell’amministrazione;</w:t>
      </w:r>
    </w:p>
    <w:p w:rsidR="00582DE2" w:rsidRDefault="00582DE2" w:rsidP="00582DE2">
      <w:pPr>
        <w:numPr>
          <w:ilvl w:val="0"/>
          <w:numId w:val="33"/>
        </w:numPr>
        <w:suppressAutoHyphens/>
        <w:autoSpaceDN w:val="0"/>
        <w:spacing w:before="100"/>
        <w:jc w:val="both"/>
        <w:textAlignment w:val="baseline"/>
        <w:rPr>
          <w:rFonts w:ascii="Arial" w:hAnsi="Arial" w:cs="Arial"/>
          <w:spacing w:val="2"/>
          <w:sz w:val="21"/>
          <w:szCs w:val="21"/>
        </w:rPr>
      </w:pPr>
      <w:r>
        <w:rPr>
          <w:rFonts w:ascii="Arial" w:hAnsi="Arial" w:cs="Arial"/>
          <w:spacing w:val="2"/>
          <w:sz w:val="21"/>
          <w:szCs w:val="21"/>
        </w:rPr>
        <w:t>alla verifica, con il dirigente competente, dell’effettiva rotazione degli incarichi negli uffici preposti allo svolgimento delle attività a rischio corruzione;</w:t>
      </w:r>
    </w:p>
    <w:p w:rsidR="00582DE2" w:rsidRDefault="00582DE2" w:rsidP="00582DE2">
      <w:pPr>
        <w:numPr>
          <w:ilvl w:val="0"/>
          <w:numId w:val="33"/>
        </w:numPr>
        <w:suppressAutoHyphens/>
        <w:autoSpaceDN w:val="0"/>
        <w:spacing w:before="100"/>
        <w:jc w:val="both"/>
        <w:textAlignment w:val="baseline"/>
        <w:rPr>
          <w:rFonts w:ascii="Arial" w:hAnsi="Arial" w:cs="Arial"/>
          <w:spacing w:val="2"/>
          <w:sz w:val="21"/>
          <w:szCs w:val="21"/>
        </w:rPr>
      </w:pPr>
      <w:r>
        <w:rPr>
          <w:rFonts w:ascii="Arial" w:hAnsi="Arial" w:cs="Arial"/>
          <w:spacing w:val="2"/>
          <w:sz w:val="21"/>
          <w:szCs w:val="21"/>
        </w:rPr>
        <w:t>ad individuare il personale da inserire nei programmi di formazione e definire le procedure appropriate per selezionare e formare i dipendenti dell’ente che operano nei settori più a rischio;</w:t>
      </w:r>
    </w:p>
    <w:p w:rsidR="00582DE2" w:rsidRDefault="00582DE2" w:rsidP="00582DE2">
      <w:pPr>
        <w:numPr>
          <w:ilvl w:val="0"/>
          <w:numId w:val="33"/>
        </w:numPr>
        <w:suppressAutoHyphens/>
        <w:autoSpaceDN w:val="0"/>
        <w:spacing w:before="100"/>
        <w:jc w:val="both"/>
        <w:textAlignment w:val="baseline"/>
        <w:rPr>
          <w:rFonts w:ascii="Arial" w:hAnsi="Arial" w:cs="Arial"/>
          <w:spacing w:val="2"/>
          <w:sz w:val="21"/>
          <w:szCs w:val="21"/>
        </w:rPr>
      </w:pPr>
      <w:r>
        <w:rPr>
          <w:rFonts w:ascii="Arial" w:hAnsi="Arial" w:cs="Arial"/>
          <w:spacing w:val="2"/>
          <w:sz w:val="21"/>
          <w:szCs w:val="21"/>
        </w:rPr>
        <w:t>a redigere una relazione sui risultati della propria attività e trasmetterla entro il 15 dicembre di ogni anno all’organo di indirizzo politico dell’ente e all'ANAC, pubblicandola sul sito istituzionale;</w:t>
      </w:r>
    </w:p>
    <w:p w:rsidR="00582DE2" w:rsidRDefault="00582DE2" w:rsidP="00582DE2">
      <w:pPr>
        <w:numPr>
          <w:ilvl w:val="0"/>
          <w:numId w:val="33"/>
        </w:numPr>
        <w:suppressAutoHyphens/>
        <w:autoSpaceDN w:val="0"/>
        <w:spacing w:before="100"/>
        <w:jc w:val="both"/>
        <w:textAlignment w:val="baseline"/>
        <w:rPr>
          <w:rFonts w:ascii="Arial" w:hAnsi="Arial" w:cs="Arial"/>
          <w:spacing w:val="2"/>
          <w:sz w:val="21"/>
          <w:szCs w:val="21"/>
        </w:rPr>
      </w:pPr>
      <w:r>
        <w:rPr>
          <w:rFonts w:ascii="Arial" w:hAnsi="Arial" w:cs="Arial"/>
          <w:spacing w:val="2"/>
          <w:sz w:val="21"/>
          <w:szCs w:val="21"/>
        </w:rPr>
        <w:t>alla verifica dell’efficace attuazione del Piano e della sua idoneità.</w:t>
      </w:r>
    </w:p>
    <w:p w:rsidR="00582DE2" w:rsidRDefault="00582DE2" w:rsidP="00582DE2">
      <w:pPr>
        <w:spacing w:before="100"/>
        <w:ind w:left="720"/>
        <w:jc w:val="both"/>
        <w:rPr>
          <w:rFonts w:ascii="Arial" w:hAnsi="Arial" w:cs="Arial"/>
          <w:spacing w:val="2"/>
          <w:sz w:val="21"/>
          <w:szCs w:val="21"/>
        </w:rPr>
      </w:pPr>
    </w:p>
    <w:p w:rsidR="00582DE2" w:rsidRDefault="00582DE2" w:rsidP="00582DE2">
      <w:pPr>
        <w:spacing w:before="100"/>
        <w:jc w:val="both"/>
        <w:rPr>
          <w:rFonts w:ascii="Arial" w:hAnsi="Arial" w:cs="Arial"/>
          <w:spacing w:val="2"/>
          <w:sz w:val="21"/>
          <w:szCs w:val="21"/>
        </w:rPr>
      </w:pPr>
      <w:r w:rsidRPr="00080553">
        <w:rPr>
          <w:rFonts w:ascii="Arial" w:hAnsi="Arial" w:cs="Arial"/>
          <w:spacing w:val="2"/>
          <w:sz w:val="21"/>
          <w:szCs w:val="21"/>
        </w:rPr>
        <w:t>Le misure di prevenzione della corruzione coinvolgono il contesto organizzativo, in quanto con esse vengono adottati interventi che incidono sull'amministrazione nel suo complesso, ovvero singoli settori, ovvero singoli processi/procedimenti tesi a ridurre le condizioni operative che favoriscono la corruzione. Per tali ragioni il RPCT deve assicurare il pieno coinvolgimento e la massima partecipazione attiva, in tutte le fasi di predisposizione ed attuazione delle misure di prevenzione, dell'intera struttura, favorendo la responsabilizzazione degli uffici, al fine di garantire una migliore qualità del PTPCT, evitando che le stesse misure si trasformino in un mero adempimento. A tal fine, una fondamentale azione da parte del RPCT, oltre al coinvolgimento attivo di tutta la struttura organizzativa, è l'investimento in attività di formazione in materia di anticorruzione, così come meglio specificato.</w:t>
      </w:r>
    </w:p>
    <w:p w:rsidR="00582DE2" w:rsidRPr="00080553" w:rsidRDefault="00582DE2" w:rsidP="00582DE2">
      <w:pPr>
        <w:spacing w:before="100"/>
        <w:jc w:val="both"/>
        <w:rPr>
          <w:rFonts w:ascii="Arial" w:hAnsi="Arial" w:cs="Arial"/>
          <w:spacing w:val="2"/>
          <w:sz w:val="21"/>
          <w:szCs w:val="21"/>
        </w:rPr>
      </w:pPr>
      <w:r w:rsidRPr="00E025F6">
        <w:rPr>
          <w:rFonts w:ascii="Arial" w:hAnsi="Arial" w:cs="Arial"/>
          <w:spacing w:val="2"/>
          <w:sz w:val="21"/>
          <w:szCs w:val="21"/>
        </w:rPr>
        <w:t xml:space="preserve">Con </w:t>
      </w:r>
      <w:r w:rsidR="003864B2" w:rsidRPr="00E025F6">
        <w:rPr>
          <w:rFonts w:ascii="Arial" w:hAnsi="Arial" w:cs="Arial"/>
          <w:spacing w:val="2"/>
          <w:sz w:val="21"/>
          <w:szCs w:val="21"/>
        </w:rPr>
        <w:t>delibera della Giunta Comunale n. 16/2022 dd. 07.03.2022 è stato nominato Responsabile per la  Prevenzione della</w:t>
      </w:r>
      <w:r w:rsidR="00E025F6" w:rsidRPr="00E025F6">
        <w:rPr>
          <w:rFonts w:ascii="Arial" w:hAnsi="Arial" w:cs="Arial"/>
          <w:spacing w:val="2"/>
          <w:sz w:val="21"/>
          <w:szCs w:val="21"/>
        </w:rPr>
        <w:t xml:space="preserve"> Corruzione e della Trasparenza </w:t>
      </w:r>
      <w:r w:rsidRPr="00E025F6">
        <w:rPr>
          <w:rFonts w:ascii="Arial" w:hAnsi="Arial" w:cs="Arial"/>
          <w:spacing w:val="2"/>
          <w:sz w:val="21"/>
          <w:szCs w:val="21"/>
        </w:rPr>
        <w:t>il Segretario comunale</w:t>
      </w:r>
      <w:r w:rsidR="003864B2" w:rsidRPr="00E025F6">
        <w:rPr>
          <w:rFonts w:ascii="Arial" w:hAnsi="Arial" w:cs="Arial"/>
          <w:spacing w:val="2"/>
          <w:sz w:val="21"/>
          <w:szCs w:val="21"/>
        </w:rPr>
        <w:t xml:space="preserve"> reggente</w:t>
      </w:r>
      <w:r w:rsidRPr="00E025F6">
        <w:rPr>
          <w:rFonts w:ascii="Arial" w:hAnsi="Arial" w:cs="Arial"/>
          <w:spacing w:val="2"/>
          <w:sz w:val="21"/>
          <w:szCs w:val="21"/>
        </w:rPr>
        <w:t xml:space="preserve">, dott. </w:t>
      </w:r>
      <w:r w:rsidR="003864B2" w:rsidRPr="00E025F6">
        <w:rPr>
          <w:rFonts w:ascii="Arial" w:hAnsi="Arial" w:cs="Arial"/>
          <w:spacing w:val="2"/>
          <w:sz w:val="21"/>
          <w:szCs w:val="21"/>
        </w:rPr>
        <w:t>ssa Comite Maria.</w:t>
      </w:r>
    </w:p>
    <w:p w:rsidR="00582DE2" w:rsidRDefault="00582DE2" w:rsidP="00582DE2">
      <w:pPr>
        <w:spacing w:before="100"/>
        <w:jc w:val="both"/>
      </w:pPr>
      <w:r>
        <w:rPr>
          <w:rFonts w:ascii="Arial" w:hAnsi="Arial" w:cs="Arial"/>
          <w:spacing w:val="2"/>
          <w:sz w:val="21"/>
          <w:szCs w:val="21"/>
        </w:rPr>
        <w:t xml:space="preserve">Il Responsabile della Prevenzione della Corruzione e della Trasparenza per l’esercizio delle proprie funzioni si avvale della </w:t>
      </w:r>
      <w:r>
        <w:rPr>
          <w:rFonts w:ascii="Arial" w:hAnsi="Arial" w:cs="Arial"/>
          <w:sz w:val="21"/>
          <w:szCs w:val="21"/>
        </w:rPr>
        <w:t>collaborazione del personale assegnato alla Segreteria.</w:t>
      </w:r>
    </w:p>
    <w:p w:rsidR="00582DE2" w:rsidRDefault="00582DE2" w:rsidP="00582DE2">
      <w:pPr>
        <w:spacing w:before="100"/>
        <w:jc w:val="both"/>
        <w:rPr>
          <w:rFonts w:ascii="Arial" w:hAnsi="Arial" w:cs="Arial"/>
          <w:sz w:val="21"/>
          <w:szCs w:val="21"/>
        </w:rPr>
      </w:pPr>
    </w:p>
    <w:p w:rsidR="00582DE2" w:rsidRDefault="00582DE2" w:rsidP="00582DE2">
      <w:pPr>
        <w:spacing w:before="100"/>
        <w:jc w:val="both"/>
        <w:rPr>
          <w:rFonts w:ascii="Arial" w:hAnsi="Arial" w:cs="Arial"/>
          <w:b/>
          <w:bCs/>
          <w:sz w:val="21"/>
          <w:szCs w:val="21"/>
        </w:rPr>
      </w:pPr>
      <w:r>
        <w:rPr>
          <w:rFonts w:ascii="Arial" w:hAnsi="Arial" w:cs="Arial"/>
          <w:b/>
          <w:bCs/>
          <w:sz w:val="21"/>
          <w:szCs w:val="21"/>
        </w:rPr>
        <w:t xml:space="preserve">5. ANALISI DEL CONTESTO </w:t>
      </w:r>
    </w:p>
    <w:p w:rsidR="00582DE2" w:rsidRDefault="00582DE2" w:rsidP="00582DE2">
      <w:pPr>
        <w:pStyle w:val="Standard"/>
        <w:spacing w:before="100" w:after="0" w:line="240" w:lineRule="auto"/>
        <w:jc w:val="both"/>
        <w:rPr>
          <w:rFonts w:ascii="Arial" w:hAnsi="Arial" w:cs="Arial"/>
          <w:sz w:val="21"/>
          <w:szCs w:val="21"/>
        </w:rPr>
      </w:pPr>
      <w:r>
        <w:rPr>
          <w:rFonts w:ascii="Arial" w:hAnsi="Arial" w:cs="Arial"/>
          <w:sz w:val="21"/>
          <w:szCs w:val="21"/>
        </w:rPr>
        <w:t>La prima fase del processo di gestione del rischio di fenomeni corruttivi è l’analisi del contesto, sia esterno che interno. In questa fase, l’amministrazione acquisisce le informazioni necessarie ad identificare il rischio corruttivo, in relazione sia alle caratteristiche dell’ambiente in cui opera (contesto esterno), sia alla propria organizzazione (contesto interno).</w:t>
      </w:r>
    </w:p>
    <w:p w:rsidR="00582DE2" w:rsidRDefault="00582DE2" w:rsidP="00582DE2">
      <w:pPr>
        <w:pStyle w:val="Standard"/>
        <w:spacing w:before="100" w:after="0" w:line="240" w:lineRule="auto"/>
        <w:jc w:val="both"/>
        <w:rPr>
          <w:rFonts w:ascii="Arial" w:hAnsi="Arial" w:cs="Arial"/>
          <w:sz w:val="21"/>
          <w:szCs w:val="21"/>
        </w:rPr>
      </w:pPr>
    </w:p>
    <w:p w:rsidR="00582DE2" w:rsidRPr="006F17AE" w:rsidRDefault="00582DE2" w:rsidP="006F17AE">
      <w:pPr>
        <w:spacing w:before="100"/>
        <w:jc w:val="both"/>
        <w:rPr>
          <w:rFonts w:ascii="Arial" w:hAnsi="Arial" w:cs="Arial"/>
          <w:b/>
          <w:bCs/>
          <w:sz w:val="21"/>
          <w:szCs w:val="21"/>
        </w:rPr>
      </w:pPr>
      <w:bookmarkStart w:id="12" w:name="__RefHeading___Toc1942_761212699"/>
      <w:r w:rsidRPr="006F17AE">
        <w:rPr>
          <w:rFonts w:ascii="Arial" w:hAnsi="Arial" w:cs="Arial"/>
          <w:b/>
          <w:bCs/>
          <w:sz w:val="21"/>
          <w:szCs w:val="21"/>
        </w:rPr>
        <w:t xml:space="preserve">5.1. </w:t>
      </w:r>
      <w:bookmarkEnd w:id="12"/>
      <w:r w:rsidRPr="006F17AE">
        <w:rPr>
          <w:rFonts w:ascii="Arial" w:hAnsi="Arial" w:cs="Arial"/>
          <w:b/>
          <w:bCs/>
          <w:sz w:val="21"/>
          <w:szCs w:val="21"/>
        </w:rPr>
        <w:t xml:space="preserve">ANALISI DEL CONTESTO ESTERNO </w:t>
      </w:r>
    </w:p>
    <w:p w:rsidR="00582DE2" w:rsidRDefault="00582DE2" w:rsidP="00582DE2">
      <w:pPr>
        <w:pStyle w:val="Standard"/>
        <w:spacing w:before="100" w:after="0" w:line="240" w:lineRule="auto"/>
        <w:jc w:val="both"/>
        <w:textAlignment w:val="top"/>
      </w:pPr>
      <w:r>
        <w:rPr>
          <w:rFonts w:ascii="Arial" w:hAnsi="Arial" w:cs="Arial"/>
          <w:sz w:val="21"/>
          <w:szCs w:val="21"/>
        </w:rPr>
        <w:t>L’analisi del contesto esterno ha come obiettivo quello di evidenziare come le caratteristiche dell’ambiente nel quale il Comune di Telve</w:t>
      </w:r>
      <w:r w:rsidR="00AE18B4">
        <w:rPr>
          <w:rFonts w:ascii="Arial" w:hAnsi="Arial" w:cs="Arial"/>
          <w:sz w:val="21"/>
          <w:szCs w:val="21"/>
        </w:rPr>
        <w:t xml:space="preserve"> di Sopra</w:t>
      </w:r>
      <w:r>
        <w:rPr>
          <w:rFonts w:ascii="Arial" w:hAnsi="Arial" w:cs="Arial"/>
          <w:sz w:val="21"/>
          <w:szCs w:val="21"/>
        </w:rPr>
        <w:t xml:space="preserve"> è chiamato ad operare, con riferimento, ad esempio, </w:t>
      </w:r>
      <w:r>
        <w:rPr>
          <w:rFonts w:ascii="Arial" w:hAnsi="Arial" w:cs="Arial"/>
          <w:sz w:val="21"/>
          <w:szCs w:val="21"/>
        </w:rPr>
        <w:lastRenderedPageBreak/>
        <w:t>a variabili culturali, criminologiche, sociali ed economiche del territorio possano favorire il verificarsi di fenomeni corruttivi al proprio interno. A tal fine, sono stati considerati sia i fattori legati al territorio Trentino di riferimento, sia le relazioni e le possibili influenze esistenti con i portatori e i rappresentanti di interessi esterni.</w:t>
      </w:r>
    </w:p>
    <w:p w:rsidR="00582DE2" w:rsidRDefault="00582DE2" w:rsidP="00582DE2">
      <w:pPr>
        <w:pStyle w:val="Standard"/>
        <w:spacing w:before="100" w:after="0" w:line="240" w:lineRule="auto"/>
        <w:jc w:val="both"/>
        <w:textAlignment w:val="top"/>
        <w:rPr>
          <w:rFonts w:ascii="Arial" w:hAnsi="Arial" w:cs="Arial"/>
          <w:sz w:val="21"/>
          <w:szCs w:val="21"/>
        </w:rPr>
      </w:pPr>
      <w:r>
        <w:rPr>
          <w:rFonts w:ascii="Arial" w:hAnsi="Arial" w:cs="Arial"/>
          <w:sz w:val="21"/>
          <w:szCs w:val="21"/>
        </w:rPr>
        <w:t>Comprendere le dinamiche territoriali di riferimento e le principali influenze e pressioni a cui un Ente locale è sottoposto consente infatti di indirizzare con maggiore efficacia e precisione la strategia di gestione del rischio.</w:t>
      </w:r>
    </w:p>
    <w:p w:rsidR="00582DE2" w:rsidRDefault="00582DE2" w:rsidP="00582DE2">
      <w:pPr>
        <w:pStyle w:val="Standard"/>
        <w:spacing w:before="100" w:after="0" w:line="240" w:lineRule="auto"/>
        <w:jc w:val="both"/>
        <w:textAlignment w:val="top"/>
        <w:rPr>
          <w:rFonts w:ascii="Arial" w:hAnsi="Arial" w:cs="Arial"/>
          <w:sz w:val="21"/>
          <w:szCs w:val="21"/>
        </w:rPr>
      </w:pPr>
      <w:r>
        <w:rPr>
          <w:rFonts w:ascii="Arial" w:hAnsi="Arial" w:cs="Arial"/>
          <w:sz w:val="21"/>
          <w:szCs w:val="21"/>
        </w:rPr>
        <w:t>Il territorio Trentino è notoriamente caratterizzato dall’assenza di fenomeni evidenti di criminalità organizzata.</w:t>
      </w:r>
    </w:p>
    <w:p w:rsidR="00582DE2" w:rsidRDefault="00582DE2" w:rsidP="00582DE2">
      <w:pPr>
        <w:pStyle w:val="Standard"/>
        <w:spacing w:before="100" w:after="0" w:line="240" w:lineRule="auto"/>
        <w:jc w:val="both"/>
        <w:textAlignment w:val="top"/>
        <w:rPr>
          <w:rFonts w:ascii="Arial" w:hAnsi="Arial" w:cs="Arial"/>
          <w:sz w:val="21"/>
          <w:szCs w:val="21"/>
        </w:rPr>
      </w:pPr>
      <w:r>
        <w:rPr>
          <w:rFonts w:ascii="Arial" w:hAnsi="Arial" w:cs="Arial"/>
          <w:sz w:val="21"/>
          <w:szCs w:val="21"/>
        </w:rPr>
        <w:t>Con deliberazione della Giunta provinciale 4 settembre 2014, n. 1492, è stato confermato il gruppo di lavoro in materia di sicurezza, il quale è investito del compito di analizzare la vulnerabilità all’infiltrazione criminale del sistema economico trentino, al fine di sviluppare risposte preventive attraverso il monitoraggio dei segnali di allarme.</w:t>
      </w:r>
    </w:p>
    <w:p w:rsidR="00582DE2" w:rsidRDefault="00582DE2" w:rsidP="00582DE2">
      <w:pPr>
        <w:pStyle w:val="Standard"/>
        <w:spacing w:before="100" w:after="0" w:line="240" w:lineRule="auto"/>
        <w:jc w:val="both"/>
        <w:textAlignment w:val="top"/>
        <w:rPr>
          <w:rFonts w:ascii="Arial" w:hAnsi="Arial" w:cs="Arial"/>
          <w:sz w:val="21"/>
          <w:szCs w:val="21"/>
        </w:rPr>
      </w:pPr>
      <w:r>
        <w:rPr>
          <w:rFonts w:ascii="Arial" w:hAnsi="Arial" w:cs="Arial"/>
          <w:sz w:val="21"/>
          <w:szCs w:val="21"/>
        </w:rPr>
        <w:t>L’Amministrazione provinciale mantiene detto gruppo di lavoro in materia di sicurezza, implementando tali funzioni nell’ottica della prevenzione della corruzione nell’ambito della PA provinciale. Il gruppo di lavoro in materia di sicurezza coordina la realizzazione di indagini statistiche concernenti l’infiltrazione criminale nel sistema economico trentino, nonché la percezione del fenomeno della corruzione da parte degli operatori economici presenti sul territorio provinciale. L’attività di indagine statistica si svolge annualmente, per settori economici, in modo da garantire l’adeguata rappresentazione delle problematiche suindicate.</w:t>
      </w:r>
    </w:p>
    <w:p w:rsidR="00582DE2" w:rsidRDefault="00582DE2" w:rsidP="00582DE2">
      <w:pPr>
        <w:pStyle w:val="Standard"/>
        <w:spacing w:before="100" w:after="0" w:line="240" w:lineRule="auto"/>
        <w:jc w:val="both"/>
        <w:textAlignment w:val="top"/>
        <w:rPr>
          <w:rFonts w:ascii="Arial" w:hAnsi="Arial" w:cs="Arial"/>
          <w:sz w:val="21"/>
          <w:szCs w:val="21"/>
        </w:rPr>
      </w:pPr>
      <w:r>
        <w:rPr>
          <w:rFonts w:ascii="Arial" w:hAnsi="Arial" w:cs="Arial"/>
          <w:sz w:val="21"/>
          <w:szCs w:val="21"/>
        </w:rPr>
        <w:t xml:space="preserve">I risultati delle indagini annuali, una volta pubblicati sul sito istituzionale della Provincia Autonoma di Trento, sono analizzati per indirizzare le politiche preventive dell’Amministrazione. </w:t>
      </w:r>
    </w:p>
    <w:p w:rsidR="00582DE2" w:rsidRDefault="00582DE2" w:rsidP="00582DE2">
      <w:pPr>
        <w:pStyle w:val="Standard"/>
        <w:spacing w:before="100" w:after="0" w:line="240" w:lineRule="auto"/>
        <w:jc w:val="both"/>
        <w:textAlignment w:val="top"/>
        <w:rPr>
          <w:rFonts w:ascii="Arial" w:hAnsi="Arial" w:cs="Arial"/>
          <w:sz w:val="21"/>
          <w:szCs w:val="21"/>
        </w:rPr>
      </w:pPr>
      <w:r>
        <w:rPr>
          <w:rFonts w:ascii="Arial" w:hAnsi="Arial" w:cs="Arial"/>
          <w:sz w:val="21"/>
          <w:szCs w:val="21"/>
        </w:rPr>
        <w:t xml:space="preserve">In tale ambito è stato somministrato nel 2015 un questionario da compilare via Web. L’indagine ha riguardato il settore delle costruzioni, costituito da 6.612 operatori economici (920 intervistati) e il settore dei trasporti e del magazzinaggio, costituito da 1.202 operatori economici (675 intervistati). Nonostante i risultati dimostrino che gli intervistati non abbiano sostanzialmente avuto contatto diretto con la criminalità organizzata o episodi di corruzione, il loro stato d’animo non è di assoluta serenità. Il 74,6% degli intervistati nel settore delle costruzioni e il 71,1% del settore dei trasporti ritiene che il Trentino presenti condizioni di legalità abbastanza o molto soddisfacenti, mentre i restanti 15% e 16,7% pensano che i fenomeni legati alla criminalità organizzata siano abbastanza o molto diffusi. Quando è stato chiesto loro se ricordassero di imprese coinvolte in tali episodi, il 73,2% dei costruttori e l’82,2% dei trasportatori nega di conoscerne. Allo stesso tempo, quando si raggiunge il livello del coinvolgimento diretto e personale, lo 0,9% nel settore delle costruzioni e l’1,5% nel settore dei trasporti dichiarano di avere ricevuto la proposta, per il superamento di una difficoltà economica, di una forma illegale di sostegno. E nel settore dei trasporti, uno su tre dichiara di aver dovuto accettare. </w:t>
      </w:r>
    </w:p>
    <w:p w:rsidR="00582DE2" w:rsidRDefault="00582DE2" w:rsidP="00582DE2">
      <w:pPr>
        <w:pStyle w:val="Standard"/>
        <w:spacing w:before="100" w:after="0" w:line="240" w:lineRule="auto"/>
        <w:jc w:val="both"/>
        <w:textAlignment w:val="top"/>
        <w:rPr>
          <w:rFonts w:ascii="Arial" w:hAnsi="Arial" w:cs="Arial"/>
          <w:sz w:val="21"/>
          <w:szCs w:val="21"/>
        </w:rPr>
      </w:pPr>
      <w:r>
        <w:rPr>
          <w:rFonts w:ascii="Arial" w:hAnsi="Arial" w:cs="Arial"/>
          <w:sz w:val="21"/>
          <w:szCs w:val="21"/>
        </w:rPr>
        <w:t>Una dinamica molto simile si può cogliere nel secondo fronte di indagine, quello relativo alla corruzione. La percezione generale del fenomeno assume una consistenza contenuta, mentre l’esperienza diretta riduce il fenomeno a percentuali di verificazione inferiori all’unità. Il 6,5% degli operatori nel settore delle costruzioni e il 4,8% di quelli nei trasporti ha dichiarato di sapere che fenomeni del genere si sono verificati a danno di imprese di loro conoscenza. Quando viene poi indagato il coinvolgimento personale, è lo 0,7% nel settore delle costruzioni e lo 0,9% nel settore dei trasporti a dichiarare di avere subito pressioni indebite da parte di politici, pubblici ufficiali e figure ispettive. Secondo l’indagine, insomma, gli imprenditori ritengono di operare in un contesto economico e istituzionale, ancora in buona misura sano, con una ridotta presenza di criminalità organizzata e corruzione e con pochissime esperienze dirette di tali infiltrazioni.</w:t>
      </w:r>
    </w:p>
    <w:p w:rsidR="00582DE2" w:rsidRDefault="00582DE2" w:rsidP="00582DE2">
      <w:pPr>
        <w:pStyle w:val="Standard"/>
        <w:spacing w:before="100" w:after="0" w:line="240" w:lineRule="auto"/>
        <w:jc w:val="both"/>
        <w:textAlignment w:val="top"/>
        <w:rPr>
          <w:rFonts w:ascii="Arial" w:hAnsi="Arial" w:cs="Arial"/>
          <w:sz w:val="21"/>
          <w:szCs w:val="21"/>
        </w:rPr>
      </w:pPr>
      <w:r>
        <w:rPr>
          <w:rFonts w:ascii="Arial" w:hAnsi="Arial" w:cs="Arial"/>
          <w:sz w:val="21"/>
          <w:szCs w:val="21"/>
        </w:rPr>
        <w:t>Dal Rapporto sulla sicurezza in Trentino dell’ottobre 2018, reperibile nel sito web istituzionale della Provincia Autonoma di Trento, emerge che: “complessivamente, tanto i dati del Ministero dell’Interno tanto le statistiche della Procura della Repubblica di Trento, come non paiono giustificare un “incremento” dell’allarme, neppure inducono a consentire una diminuzione dell’attenzione rivolta al fenomeno criminalità. Il senso di insicurezza che traspare dalle risposte date al questionario offerto dall’ISPAT (allegato al rapporto), ha comunque la sua giustificazione, in quanto il numero dei furti in abitazione che sono stati denunciati è di quasi 3 al giorno e tutti i delitti contro la libertà sessuale, stalking, maltrattamenti, rapine sono stabili oppure aumentati, seppur di poco”.</w:t>
      </w:r>
    </w:p>
    <w:p w:rsidR="00582DE2" w:rsidRDefault="00582DE2" w:rsidP="00582DE2">
      <w:pPr>
        <w:pStyle w:val="Standard"/>
        <w:spacing w:before="100" w:after="0" w:line="240" w:lineRule="auto"/>
        <w:jc w:val="both"/>
        <w:textAlignment w:val="top"/>
        <w:rPr>
          <w:rFonts w:ascii="Arial" w:hAnsi="Arial" w:cs="Arial"/>
          <w:sz w:val="21"/>
          <w:szCs w:val="21"/>
        </w:rPr>
      </w:pPr>
      <w:r>
        <w:rPr>
          <w:rFonts w:ascii="Arial" w:hAnsi="Arial" w:cs="Arial"/>
          <w:sz w:val="21"/>
          <w:szCs w:val="21"/>
        </w:rPr>
        <w:lastRenderedPageBreak/>
        <w:t xml:space="preserve">Nel Rapporto emerge che le risposte, fornite al questionario dai vari operatori economici, “sulla presenza di fenomeni di illegalità sono assolutamente poco significative a giustificare conclusioni allarmanti”. Inoltre nelle osservazioni conclusive l’ISPAT afferma che “quanto alla presenza della criminalità organizzata nel tessuto economico produttivo trentino, mentre la percezione generale del fenomeno assume una certa, comunque contenuta, consistenza, l’esperienza diretta relega lo stesso fenomeno a percentuali di verificazione prossime all’unità. Anche con riferimento al fenomeno della corruzione nel territorio provinciale, i risultati delle interviste consentono di ritenere che la percezione di tale fenomeno abbia una consistenza contenuta, mentre l’esperienza diretta lo stesso a percentuali di verificazione dell’ordine di una unità”. </w:t>
      </w:r>
    </w:p>
    <w:p w:rsidR="00582DE2" w:rsidRDefault="00582DE2" w:rsidP="00582DE2">
      <w:pPr>
        <w:pStyle w:val="Standard"/>
        <w:spacing w:before="100" w:after="0" w:line="240" w:lineRule="auto"/>
        <w:jc w:val="both"/>
        <w:textAlignment w:val="top"/>
        <w:rPr>
          <w:rFonts w:ascii="Arial" w:hAnsi="Arial" w:cs="Arial"/>
          <w:sz w:val="21"/>
          <w:szCs w:val="21"/>
        </w:rPr>
      </w:pPr>
      <w:r>
        <w:rPr>
          <w:rFonts w:ascii="Arial" w:hAnsi="Arial" w:cs="Arial"/>
          <w:sz w:val="21"/>
          <w:szCs w:val="21"/>
        </w:rPr>
        <w:t>In conclusione nel Rapporto sulla sicurezza in Trentino dell’ottobre 2018 si afferma che: “dall’attività svolta dal gruppo di lavoro emerge un quadro sufficientemente tranquillizzante e rassicurante. Infatti, sebbene il tessuto economico trentino appaia – rispetto a quello di altre Regioni – sostanzialmente florido e appetibile per gli operatori, e di conseguenza non assolutamente immune dalla “possibilità” di infiltrazioni criminose, attualmente il rispetto della legalità sembra adeguatamente garantito. Quanto, invece, alla percezione dell’illegalità da parte degli operatori del Trentino, emerge la richiesta di una maggiore giustizia e sicurezza, che sarà tenuta in debita considerazione negli sviluppi futuri dell’attività del gruppo di lavoro. Il tema della sicurezza e della misura e della percezione di insicurezza dei cittadini è stato correttamente tenuto presente dal gruppo di lavoro, ove si osservi che l’art. 9 dello Statuto di autonomia attribuisce alla Provincia una competenza legislativa secondaria in materia di sicurezza locale, e che gli artt. 1 e 3 della legge provinciale 27 giugno 2005, n. 8, dispongono che la Provincia promuova la realizzazione di un sistema integrato di scurezza”.</w:t>
      </w:r>
    </w:p>
    <w:p w:rsidR="00582DE2" w:rsidRDefault="00582DE2" w:rsidP="00582DE2">
      <w:pPr>
        <w:pStyle w:val="Standard"/>
        <w:spacing w:before="100" w:after="0" w:line="240" w:lineRule="auto"/>
        <w:jc w:val="both"/>
        <w:textAlignment w:val="top"/>
        <w:rPr>
          <w:rFonts w:ascii="Arial" w:hAnsi="Arial" w:cs="Arial"/>
          <w:sz w:val="21"/>
          <w:szCs w:val="21"/>
        </w:rPr>
      </w:pPr>
      <w:r>
        <w:rPr>
          <w:rFonts w:ascii="Arial" w:hAnsi="Arial" w:cs="Arial"/>
          <w:sz w:val="21"/>
          <w:szCs w:val="21"/>
        </w:rPr>
        <w:t>Sotto altro profilo si segnala il rapporto dell’ANAC “La corruzione in Italia 2016-2019” che analizza i provvedimenti emessi dall’Autorità giudiziaria nell’ultimo triennio. Il dossier fornisce un 14 quadro dettagliato, benché non scientifico né esaustivo, delle vicende corruttive in termini di dislocazione geografica, contropartite, enti, settori e soggetti coinvolti. Il rapporto conferma che il Trentino Alto Adige è agli ultimi posti per episodi di corruzione (2 casi nel triennio pari all’1,3%). Ciò nonostante l’analisi evidenzia che i Comuni rappresentano gli enti maggiormente a rischio e che il settore maggiormente interessato è quello degli appalti pubblici (74% dei casi).</w:t>
      </w:r>
    </w:p>
    <w:p w:rsidR="00582DE2" w:rsidRDefault="00582DE2" w:rsidP="00582DE2">
      <w:pPr>
        <w:pStyle w:val="Standard"/>
        <w:spacing w:before="100" w:after="0" w:line="240" w:lineRule="auto"/>
        <w:jc w:val="both"/>
        <w:textAlignment w:val="top"/>
        <w:rPr>
          <w:rFonts w:ascii="Arial" w:hAnsi="Arial" w:cs="Arial"/>
          <w:sz w:val="21"/>
          <w:szCs w:val="21"/>
        </w:rPr>
      </w:pPr>
    </w:p>
    <w:p w:rsidR="00582DE2" w:rsidRDefault="00582DE2" w:rsidP="00582DE2">
      <w:pPr>
        <w:pStyle w:val="Standard"/>
        <w:spacing w:before="100" w:after="0" w:line="240" w:lineRule="auto"/>
        <w:jc w:val="both"/>
        <w:textAlignment w:val="top"/>
      </w:pPr>
    </w:p>
    <w:p w:rsidR="00582DE2" w:rsidRDefault="00582DE2" w:rsidP="00582DE2">
      <w:pPr>
        <w:pStyle w:val="Standard"/>
        <w:spacing w:before="100" w:after="0" w:line="240" w:lineRule="auto"/>
        <w:jc w:val="both"/>
        <w:textAlignment w:val="top"/>
      </w:pPr>
    </w:p>
    <w:p w:rsidR="00582DE2" w:rsidRDefault="004E1806" w:rsidP="00582DE2">
      <w:pPr>
        <w:pStyle w:val="Standard"/>
        <w:spacing w:before="100" w:after="0" w:line="240" w:lineRule="auto"/>
        <w:jc w:val="both"/>
        <w:textAlignment w:val="top"/>
      </w:pPr>
      <w:r>
        <w:rPr>
          <w:noProof/>
          <w:lang w:eastAsia="it-IT"/>
        </w:rPr>
        <w:drawing>
          <wp:anchor distT="0" distB="0" distL="114300" distR="114300" simplePos="0" relativeHeight="251657216" behindDoc="0" locked="0" layoutInCell="1" allowOverlap="1">
            <wp:simplePos x="0" y="0"/>
            <wp:positionH relativeFrom="margin">
              <wp:align>center</wp:align>
            </wp:positionH>
            <wp:positionV relativeFrom="paragraph">
              <wp:posOffset>-379095</wp:posOffset>
            </wp:positionV>
            <wp:extent cx="3406140" cy="257175"/>
            <wp:effectExtent l="0" t="0" r="0" b="0"/>
            <wp:wrapNone/>
            <wp:docPr id="6" name="Picture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614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8240" behindDoc="0" locked="0" layoutInCell="1" allowOverlap="1">
            <wp:simplePos x="0" y="0"/>
            <wp:positionH relativeFrom="margin">
              <wp:posOffset>266700</wp:posOffset>
            </wp:positionH>
            <wp:positionV relativeFrom="paragraph">
              <wp:posOffset>-2540</wp:posOffset>
            </wp:positionV>
            <wp:extent cx="6143625" cy="2552700"/>
            <wp:effectExtent l="0" t="0" r="0" b="0"/>
            <wp:wrapNone/>
            <wp:docPr id="5" name="Picture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43625" cy="2552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2DE2" w:rsidRDefault="00582DE2" w:rsidP="00582DE2">
      <w:pPr>
        <w:pStyle w:val="Standard"/>
        <w:spacing w:before="100" w:after="0" w:line="240" w:lineRule="auto"/>
        <w:jc w:val="both"/>
        <w:textAlignment w:val="top"/>
      </w:pPr>
    </w:p>
    <w:p w:rsidR="00582DE2" w:rsidRDefault="00582DE2" w:rsidP="00582DE2">
      <w:pPr>
        <w:pStyle w:val="Standard"/>
        <w:spacing w:before="100" w:after="0" w:line="240" w:lineRule="auto"/>
        <w:jc w:val="both"/>
        <w:textAlignment w:val="top"/>
        <w:rPr>
          <w:rFonts w:ascii="Arial" w:hAnsi="Arial" w:cs="Arial"/>
          <w:sz w:val="21"/>
          <w:szCs w:val="21"/>
        </w:rPr>
      </w:pPr>
    </w:p>
    <w:p w:rsidR="00582DE2" w:rsidRDefault="00582DE2" w:rsidP="00582DE2">
      <w:pPr>
        <w:pStyle w:val="Standard"/>
        <w:spacing w:before="100" w:after="0" w:line="240" w:lineRule="auto"/>
        <w:jc w:val="both"/>
        <w:textAlignment w:val="top"/>
        <w:rPr>
          <w:rFonts w:ascii="Arial" w:hAnsi="Arial" w:cs="Arial"/>
          <w:sz w:val="21"/>
          <w:szCs w:val="21"/>
        </w:rPr>
      </w:pPr>
    </w:p>
    <w:p w:rsidR="00582DE2" w:rsidRDefault="00582DE2" w:rsidP="00582DE2">
      <w:pPr>
        <w:pStyle w:val="Standard"/>
        <w:spacing w:before="100" w:after="0" w:line="240" w:lineRule="auto"/>
        <w:jc w:val="both"/>
        <w:textAlignment w:val="top"/>
        <w:rPr>
          <w:rFonts w:ascii="Arial" w:hAnsi="Arial" w:cs="Arial"/>
          <w:sz w:val="21"/>
          <w:szCs w:val="21"/>
        </w:rPr>
      </w:pPr>
    </w:p>
    <w:p w:rsidR="00582DE2" w:rsidRDefault="00582DE2" w:rsidP="00582DE2">
      <w:pPr>
        <w:pStyle w:val="Standard"/>
        <w:spacing w:before="100" w:after="0" w:line="240" w:lineRule="auto"/>
        <w:jc w:val="both"/>
        <w:textAlignment w:val="top"/>
        <w:rPr>
          <w:rFonts w:ascii="Arial" w:hAnsi="Arial" w:cs="Arial"/>
          <w:sz w:val="21"/>
          <w:szCs w:val="21"/>
        </w:rPr>
      </w:pPr>
    </w:p>
    <w:p w:rsidR="00582DE2" w:rsidRDefault="00582DE2" w:rsidP="00582DE2">
      <w:pPr>
        <w:pStyle w:val="Standard"/>
        <w:spacing w:before="100" w:after="0" w:line="240" w:lineRule="auto"/>
        <w:jc w:val="both"/>
        <w:textAlignment w:val="top"/>
        <w:rPr>
          <w:rFonts w:ascii="Arial" w:hAnsi="Arial" w:cs="Arial"/>
          <w:sz w:val="21"/>
          <w:szCs w:val="21"/>
        </w:rPr>
      </w:pPr>
    </w:p>
    <w:p w:rsidR="00582DE2" w:rsidRDefault="00582DE2" w:rsidP="00582DE2">
      <w:pPr>
        <w:pStyle w:val="Standard"/>
        <w:spacing w:before="100" w:after="0" w:line="240" w:lineRule="auto"/>
        <w:jc w:val="both"/>
        <w:textAlignment w:val="top"/>
        <w:rPr>
          <w:rFonts w:ascii="Arial" w:hAnsi="Arial" w:cs="Arial"/>
          <w:sz w:val="21"/>
          <w:szCs w:val="21"/>
        </w:rPr>
      </w:pPr>
    </w:p>
    <w:p w:rsidR="00582DE2" w:rsidRDefault="00582DE2" w:rsidP="00582DE2">
      <w:pPr>
        <w:pStyle w:val="Standard"/>
        <w:spacing w:before="100" w:after="0" w:line="240" w:lineRule="auto"/>
        <w:jc w:val="both"/>
        <w:textAlignment w:val="top"/>
        <w:rPr>
          <w:rFonts w:ascii="Arial" w:hAnsi="Arial" w:cs="Arial"/>
          <w:sz w:val="21"/>
          <w:szCs w:val="21"/>
        </w:rPr>
      </w:pPr>
    </w:p>
    <w:p w:rsidR="00582DE2" w:rsidRDefault="00582DE2" w:rsidP="00582DE2">
      <w:pPr>
        <w:pStyle w:val="Standard"/>
        <w:spacing w:before="100" w:after="0" w:line="240" w:lineRule="auto"/>
        <w:jc w:val="both"/>
        <w:textAlignment w:val="top"/>
        <w:rPr>
          <w:rFonts w:ascii="Arial" w:hAnsi="Arial" w:cs="Arial"/>
          <w:sz w:val="21"/>
          <w:szCs w:val="21"/>
        </w:rPr>
      </w:pPr>
    </w:p>
    <w:p w:rsidR="00582DE2" w:rsidRDefault="00582DE2" w:rsidP="00582DE2">
      <w:pPr>
        <w:pStyle w:val="Standard"/>
        <w:spacing w:before="100" w:after="0" w:line="240" w:lineRule="auto"/>
        <w:jc w:val="both"/>
        <w:textAlignment w:val="top"/>
        <w:rPr>
          <w:rFonts w:ascii="Arial" w:hAnsi="Arial" w:cs="Arial"/>
          <w:sz w:val="21"/>
          <w:szCs w:val="21"/>
        </w:rPr>
      </w:pPr>
    </w:p>
    <w:p w:rsidR="00582DE2" w:rsidRDefault="00582DE2" w:rsidP="00582DE2">
      <w:pPr>
        <w:pStyle w:val="Standard"/>
        <w:spacing w:before="100" w:after="0" w:line="240" w:lineRule="auto"/>
        <w:jc w:val="both"/>
        <w:textAlignment w:val="top"/>
        <w:rPr>
          <w:rFonts w:ascii="Arial" w:hAnsi="Arial" w:cs="Arial"/>
          <w:sz w:val="21"/>
          <w:szCs w:val="21"/>
        </w:rPr>
      </w:pPr>
    </w:p>
    <w:p w:rsidR="00582DE2" w:rsidRDefault="00582DE2" w:rsidP="00582DE2">
      <w:pPr>
        <w:pStyle w:val="Standard"/>
        <w:spacing w:before="100" w:after="0" w:line="240" w:lineRule="auto"/>
        <w:jc w:val="both"/>
        <w:textAlignment w:val="top"/>
        <w:rPr>
          <w:rFonts w:ascii="Arial" w:hAnsi="Arial" w:cs="Arial"/>
          <w:sz w:val="21"/>
          <w:szCs w:val="21"/>
        </w:rPr>
      </w:pPr>
    </w:p>
    <w:p w:rsidR="00582DE2" w:rsidRDefault="00582DE2" w:rsidP="00582DE2">
      <w:pPr>
        <w:pStyle w:val="Standard"/>
        <w:spacing w:before="100" w:after="0" w:line="240" w:lineRule="auto"/>
        <w:jc w:val="both"/>
        <w:textAlignment w:val="top"/>
        <w:rPr>
          <w:rFonts w:ascii="Arial" w:hAnsi="Arial" w:cs="Arial"/>
          <w:sz w:val="21"/>
          <w:szCs w:val="21"/>
        </w:rPr>
      </w:pPr>
      <w:r>
        <w:rPr>
          <w:rFonts w:ascii="Arial" w:hAnsi="Arial" w:cs="Arial"/>
          <w:sz w:val="21"/>
          <w:szCs w:val="21"/>
        </w:rPr>
        <w:t xml:space="preserve">Nel processo di costruzione del presente Piano si è tenuto conto della suddetta analisi, ma anche delle risultanze dell’ordinaria vigilanza sui possibili fenomeni corruttivi. Nel corso dei monitoraggi sinora effettuati nell’Ente non sono emerse irregolarità attinenti al fenomeno corruttivo e non sono state irrogate </w:t>
      </w:r>
      <w:r>
        <w:rPr>
          <w:rFonts w:ascii="Arial" w:hAnsi="Arial" w:cs="Arial"/>
          <w:sz w:val="21"/>
          <w:szCs w:val="21"/>
        </w:rPr>
        <w:lastRenderedPageBreak/>
        <w:t>sanzioni. Si può quindi fondatamente ritenere che il contesto interno è sano e non genera particolari preoccupazioni</w:t>
      </w:r>
    </w:p>
    <w:p w:rsidR="00582DE2" w:rsidRDefault="00582DE2" w:rsidP="00582DE2">
      <w:pPr>
        <w:pStyle w:val="Standard"/>
        <w:spacing w:before="100" w:after="0" w:line="240" w:lineRule="auto"/>
        <w:jc w:val="both"/>
        <w:textAlignment w:val="top"/>
        <w:rPr>
          <w:rFonts w:ascii="Arial" w:hAnsi="Arial" w:cs="Arial"/>
          <w:sz w:val="21"/>
          <w:szCs w:val="21"/>
        </w:rPr>
      </w:pPr>
      <w:r>
        <w:rPr>
          <w:rFonts w:ascii="Arial" w:hAnsi="Arial" w:cs="Arial"/>
          <w:sz w:val="21"/>
          <w:szCs w:val="21"/>
        </w:rPr>
        <w:t>Nell’ambito del processo partecipativo rivolto all’aggiornamento del presente Piano non sono pervenute richieste o segnalazioni di potenziamento delle misure in atto o previste.</w:t>
      </w:r>
    </w:p>
    <w:p w:rsidR="00582DE2" w:rsidRDefault="00582DE2" w:rsidP="00582DE2">
      <w:pPr>
        <w:pStyle w:val="Standard"/>
        <w:spacing w:before="100" w:after="0" w:line="240" w:lineRule="auto"/>
        <w:jc w:val="both"/>
        <w:textAlignment w:val="top"/>
        <w:rPr>
          <w:rFonts w:ascii="Arial" w:hAnsi="Arial" w:cs="Arial"/>
          <w:sz w:val="21"/>
          <w:szCs w:val="21"/>
        </w:rPr>
      </w:pPr>
    </w:p>
    <w:p w:rsidR="00582DE2" w:rsidRDefault="00582DE2" w:rsidP="00582DE2">
      <w:pPr>
        <w:pStyle w:val="Standard"/>
        <w:spacing w:before="100" w:after="0" w:line="240" w:lineRule="auto"/>
        <w:jc w:val="both"/>
        <w:textAlignment w:val="top"/>
        <w:rPr>
          <w:rFonts w:ascii="Arial" w:hAnsi="Arial" w:cs="Arial"/>
          <w:b/>
          <w:bCs/>
          <w:sz w:val="21"/>
          <w:szCs w:val="21"/>
        </w:rPr>
      </w:pPr>
      <w:r>
        <w:rPr>
          <w:rFonts w:ascii="Arial" w:hAnsi="Arial" w:cs="Arial"/>
          <w:b/>
          <w:bCs/>
          <w:sz w:val="21"/>
          <w:szCs w:val="21"/>
        </w:rPr>
        <w:t xml:space="preserve">5.2. ANALISI DEL CONTESTO INTERNO </w:t>
      </w:r>
    </w:p>
    <w:p w:rsidR="00582DE2" w:rsidRDefault="00582DE2" w:rsidP="00582DE2">
      <w:pPr>
        <w:pStyle w:val="Standard"/>
        <w:spacing w:before="100" w:after="0" w:line="240" w:lineRule="auto"/>
        <w:jc w:val="both"/>
        <w:textAlignment w:val="top"/>
        <w:rPr>
          <w:rFonts w:ascii="Arial" w:hAnsi="Arial" w:cs="Arial"/>
          <w:sz w:val="21"/>
          <w:szCs w:val="21"/>
        </w:rPr>
      </w:pPr>
      <w:r>
        <w:rPr>
          <w:rFonts w:ascii="Arial" w:hAnsi="Arial" w:cs="Arial"/>
          <w:sz w:val="21"/>
          <w:szCs w:val="21"/>
        </w:rPr>
        <w:t xml:space="preserve">L’analisi del contesto interno investe aspetti correlati all’organizzazione e alla gestione per processi che influenzano la sensibilità della struttura al rischio corruttivo. L’analisi ha lo scopo di far emergere sia il sistema delle responsabilità, che il livello di complessità dell’amministrazione. Entrambi questi aspetti contestualizzano il sistema di prevenzione della corruzione e sono in grado di incidere sul suo livello di attuazione e di adeguatezza. L’analisi del contesto interno è incentrata: </w:t>
      </w:r>
    </w:p>
    <w:p w:rsidR="00582DE2" w:rsidRDefault="00582DE2" w:rsidP="00582DE2">
      <w:pPr>
        <w:pStyle w:val="Standard"/>
        <w:spacing w:before="100" w:after="0" w:line="240" w:lineRule="auto"/>
        <w:jc w:val="both"/>
        <w:textAlignment w:val="top"/>
        <w:rPr>
          <w:rFonts w:ascii="Arial" w:hAnsi="Arial" w:cs="Arial"/>
          <w:sz w:val="21"/>
          <w:szCs w:val="21"/>
        </w:rPr>
      </w:pPr>
      <w:r>
        <w:rPr>
          <w:rFonts w:ascii="Arial" w:hAnsi="Arial" w:cs="Arial"/>
          <w:sz w:val="21"/>
          <w:szCs w:val="21"/>
        </w:rPr>
        <w:t xml:space="preserve">- sull’esame della struttura organizzativa e delle principali funzioni da essa svolte, per evidenziare il sistema delle responsabilità; </w:t>
      </w:r>
    </w:p>
    <w:p w:rsidR="00582DE2" w:rsidRDefault="00582DE2" w:rsidP="00582DE2">
      <w:pPr>
        <w:pStyle w:val="Standard"/>
        <w:spacing w:before="100" w:after="0" w:line="240" w:lineRule="auto"/>
        <w:jc w:val="both"/>
        <w:textAlignment w:val="top"/>
        <w:rPr>
          <w:rFonts w:ascii="Arial" w:hAnsi="Arial" w:cs="Arial"/>
          <w:sz w:val="21"/>
          <w:szCs w:val="21"/>
        </w:rPr>
      </w:pPr>
      <w:r>
        <w:rPr>
          <w:rFonts w:ascii="Arial" w:hAnsi="Arial" w:cs="Arial"/>
          <w:sz w:val="21"/>
          <w:szCs w:val="21"/>
        </w:rPr>
        <w:t>- sulla mappatura dei processi e delle attività dell’ente, consistente nella individuazione e nell’analisi dei processi organizzativi.</w:t>
      </w:r>
    </w:p>
    <w:p w:rsidR="00582DE2" w:rsidRDefault="00582DE2" w:rsidP="00582DE2">
      <w:pPr>
        <w:pStyle w:val="Standard"/>
        <w:spacing w:before="100" w:after="0" w:line="240" w:lineRule="auto"/>
        <w:jc w:val="both"/>
        <w:textAlignment w:val="top"/>
        <w:rPr>
          <w:rFonts w:ascii="Arial" w:hAnsi="Arial" w:cs="Arial"/>
          <w:sz w:val="21"/>
          <w:szCs w:val="21"/>
        </w:rPr>
      </w:pPr>
    </w:p>
    <w:p w:rsidR="00582DE2" w:rsidRPr="006F17AE" w:rsidRDefault="00582DE2" w:rsidP="006F17AE">
      <w:pPr>
        <w:pStyle w:val="Standard"/>
        <w:spacing w:before="100" w:after="0" w:line="240" w:lineRule="auto"/>
        <w:jc w:val="both"/>
        <w:textAlignment w:val="top"/>
        <w:rPr>
          <w:rFonts w:ascii="Arial" w:hAnsi="Arial" w:cs="Arial"/>
          <w:b/>
          <w:bCs/>
          <w:sz w:val="21"/>
          <w:szCs w:val="21"/>
        </w:rPr>
      </w:pPr>
      <w:bookmarkStart w:id="13" w:name="__RefHeading___Toc1944_761212699"/>
      <w:r w:rsidRPr="006F17AE">
        <w:rPr>
          <w:rFonts w:ascii="Arial" w:hAnsi="Arial" w:cs="Arial"/>
          <w:b/>
          <w:bCs/>
          <w:sz w:val="21"/>
          <w:szCs w:val="21"/>
        </w:rPr>
        <w:t>5.2.1. LA STRUTTURA ORGANIZZATIVA</w:t>
      </w:r>
      <w:bookmarkEnd w:id="13"/>
    </w:p>
    <w:p w:rsidR="00582DE2" w:rsidRDefault="00582DE2" w:rsidP="00582DE2">
      <w:pPr>
        <w:snapToGrid w:val="0"/>
        <w:spacing w:before="100"/>
        <w:jc w:val="both"/>
        <w:rPr>
          <w:rFonts w:ascii="Arial" w:hAnsi="Arial" w:cs="Arial"/>
          <w:spacing w:val="2"/>
          <w:sz w:val="21"/>
          <w:szCs w:val="21"/>
        </w:rPr>
      </w:pPr>
      <w:bookmarkStart w:id="14" w:name="__RefHeading___Toc1946_761212699"/>
      <w:r>
        <w:rPr>
          <w:rFonts w:ascii="Arial" w:hAnsi="Arial" w:cs="Arial"/>
          <w:spacing w:val="2"/>
          <w:sz w:val="21"/>
          <w:szCs w:val="21"/>
        </w:rPr>
        <w:t xml:space="preserve">L’attuale struttura organizzativa del Comune si articola in servizi che sono unità operative costituite sulla base dell’omogeneità dei servizi erogati e dei processi gestiti o delle competenze. </w:t>
      </w:r>
    </w:p>
    <w:p w:rsidR="00582DE2" w:rsidRDefault="00582DE2" w:rsidP="00582DE2">
      <w:pPr>
        <w:snapToGrid w:val="0"/>
        <w:spacing w:before="100"/>
        <w:jc w:val="both"/>
        <w:rPr>
          <w:rFonts w:ascii="Arial" w:hAnsi="Arial" w:cs="Arial"/>
          <w:spacing w:val="2"/>
          <w:sz w:val="21"/>
          <w:szCs w:val="21"/>
        </w:rPr>
      </w:pPr>
      <w:r>
        <w:rPr>
          <w:rFonts w:ascii="Arial" w:hAnsi="Arial" w:cs="Arial"/>
          <w:spacing w:val="2"/>
          <w:sz w:val="21"/>
          <w:szCs w:val="21"/>
        </w:rPr>
        <w:t>L’articolazione dei Servizi è così definita:</w:t>
      </w:r>
    </w:p>
    <w:p w:rsidR="00582DE2" w:rsidRDefault="00582DE2" w:rsidP="00582DE2">
      <w:pPr>
        <w:snapToGrid w:val="0"/>
        <w:spacing w:before="100"/>
        <w:jc w:val="both"/>
        <w:rPr>
          <w:rFonts w:ascii="Arial" w:hAnsi="Arial" w:cs="Arial"/>
          <w:sz w:val="21"/>
          <w:szCs w:val="21"/>
        </w:rPr>
      </w:pPr>
      <w:r>
        <w:rPr>
          <w:rFonts w:ascii="Arial" w:hAnsi="Arial" w:cs="Arial"/>
          <w:spacing w:val="2"/>
          <w:sz w:val="21"/>
          <w:szCs w:val="21"/>
        </w:rPr>
        <w:t>Si rappresenta che il presente Piano prende in considerazione esc</w:t>
      </w:r>
      <w:r>
        <w:rPr>
          <w:rFonts w:ascii="Arial" w:hAnsi="Arial" w:cs="Arial"/>
          <w:sz w:val="21"/>
          <w:szCs w:val="21"/>
        </w:rPr>
        <w:t>lusivamente i processi direttamente gestiti.</w:t>
      </w:r>
    </w:p>
    <w:p w:rsidR="0080282F" w:rsidRDefault="0080282F" w:rsidP="00582DE2">
      <w:pPr>
        <w:snapToGrid w:val="0"/>
        <w:spacing w:before="100"/>
        <w:jc w:val="both"/>
      </w:pPr>
    </w:p>
    <w:p w:rsidR="00582DE2" w:rsidRDefault="00582DE2" w:rsidP="00582DE2">
      <w:pPr>
        <w:pStyle w:val="Corpodeltesto2"/>
        <w:pBdr>
          <w:top w:val="single" w:sz="4" w:space="1" w:color="000000"/>
          <w:left w:val="single" w:sz="4" w:space="4" w:color="000000"/>
          <w:bottom w:val="single" w:sz="4" w:space="1" w:color="000000"/>
          <w:right w:val="single" w:sz="4" w:space="4" w:color="000000"/>
        </w:pBdr>
        <w:shd w:val="clear" w:color="auto" w:fill="F2F2F2"/>
        <w:spacing w:before="100"/>
        <w:jc w:val="center"/>
        <w:rPr>
          <w:rFonts w:ascii="Arial" w:hAnsi="Arial" w:cs="Arial"/>
          <w:i/>
          <w:sz w:val="21"/>
          <w:szCs w:val="21"/>
        </w:rPr>
      </w:pPr>
      <w:r>
        <w:rPr>
          <w:rFonts w:ascii="Arial" w:hAnsi="Arial" w:cs="Arial"/>
          <w:i/>
          <w:sz w:val="21"/>
          <w:szCs w:val="21"/>
        </w:rPr>
        <w:t>Parte politica</w:t>
      </w:r>
    </w:p>
    <w:p w:rsidR="00582DE2" w:rsidRDefault="00582DE2" w:rsidP="00582DE2">
      <w:pPr>
        <w:pStyle w:val="Corpodeltesto2"/>
        <w:spacing w:before="120"/>
        <w:rPr>
          <w:rFonts w:ascii="Arial" w:hAnsi="Arial" w:cs="Arial"/>
          <w:b/>
          <w:sz w:val="21"/>
          <w:szCs w:val="21"/>
          <w:u w:val="single"/>
        </w:rPr>
      </w:pPr>
      <w:r>
        <w:rPr>
          <w:rFonts w:ascii="Arial" w:hAnsi="Arial" w:cs="Arial"/>
          <w:b/>
          <w:sz w:val="21"/>
          <w:szCs w:val="21"/>
          <w:u w:val="single"/>
        </w:rPr>
        <w:t>Sindaco</w:t>
      </w:r>
    </w:p>
    <w:p w:rsidR="00582DE2" w:rsidRDefault="00722E2A" w:rsidP="00582DE2">
      <w:pPr>
        <w:pStyle w:val="Corpodeltesto2"/>
        <w:rPr>
          <w:rFonts w:ascii="Arial" w:hAnsi="Arial" w:cs="Arial"/>
          <w:sz w:val="21"/>
          <w:szCs w:val="21"/>
        </w:rPr>
      </w:pPr>
      <w:r>
        <w:rPr>
          <w:rFonts w:ascii="Arial" w:hAnsi="Arial" w:cs="Arial"/>
          <w:sz w:val="21"/>
          <w:szCs w:val="21"/>
        </w:rPr>
        <w:t>sig. Giampaolo Bonella</w:t>
      </w:r>
    </w:p>
    <w:p w:rsidR="00582DE2" w:rsidRDefault="00582DE2" w:rsidP="00582DE2">
      <w:pPr>
        <w:pStyle w:val="Corpodeltesto2"/>
        <w:spacing w:before="120"/>
        <w:rPr>
          <w:rFonts w:ascii="Arial" w:hAnsi="Arial" w:cs="Arial"/>
          <w:b/>
          <w:sz w:val="21"/>
          <w:szCs w:val="21"/>
          <w:u w:val="single"/>
        </w:rPr>
      </w:pPr>
      <w:r>
        <w:rPr>
          <w:rFonts w:ascii="Arial" w:hAnsi="Arial" w:cs="Arial"/>
          <w:b/>
          <w:sz w:val="21"/>
          <w:szCs w:val="21"/>
          <w:u w:val="single"/>
        </w:rPr>
        <w:t>Consiglio Comunale</w:t>
      </w:r>
    </w:p>
    <w:p w:rsidR="00582DE2" w:rsidRDefault="00722E2A" w:rsidP="00582DE2">
      <w:pPr>
        <w:pStyle w:val="Corpodeltesto2"/>
        <w:rPr>
          <w:rFonts w:ascii="Arial" w:hAnsi="Arial" w:cs="Arial"/>
          <w:sz w:val="21"/>
          <w:szCs w:val="21"/>
        </w:rPr>
      </w:pPr>
      <w:r>
        <w:rPr>
          <w:rFonts w:ascii="Arial" w:hAnsi="Arial" w:cs="Arial"/>
          <w:sz w:val="21"/>
          <w:szCs w:val="21"/>
        </w:rPr>
        <w:t>Giampaolo Bonella –</w:t>
      </w:r>
      <w:r w:rsidR="00582DE2">
        <w:rPr>
          <w:rFonts w:ascii="Arial" w:hAnsi="Arial" w:cs="Arial"/>
          <w:sz w:val="21"/>
          <w:szCs w:val="21"/>
        </w:rPr>
        <w:t xml:space="preserve"> Sindaco</w:t>
      </w:r>
    </w:p>
    <w:p w:rsidR="00722E2A" w:rsidRDefault="00722E2A" w:rsidP="00582DE2">
      <w:pPr>
        <w:pStyle w:val="Corpodeltesto2"/>
        <w:rPr>
          <w:rFonts w:ascii="Arial" w:hAnsi="Arial" w:cs="Arial"/>
          <w:sz w:val="21"/>
          <w:szCs w:val="21"/>
        </w:rPr>
      </w:pPr>
      <w:r>
        <w:rPr>
          <w:rFonts w:ascii="Arial" w:hAnsi="Arial" w:cs="Arial"/>
          <w:sz w:val="21"/>
          <w:szCs w:val="21"/>
        </w:rPr>
        <w:t>Trentin Andrea</w:t>
      </w:r>
      <w:r w:rsidR="00D91190">
        <w:rPr>
          <w:rFonts w:ascii="Arial" w:hAnsi="Arial" w:cs="Arial"/>
          <w:sz w:val="21"/>
          <w:szCs w:val="21"/>
        </w:rPr>
        <w:t xml:space="preserve"> - Vicesindaco</w:t>
      </w:r>
    </w:p>
    <w:p w:rsidR="00722E2A" w:rsidRDefault="00722E2A" w:rsidP="00582DE2">
      <w:pPr>
        <w:pStyle w:val="Corpodeltesto2"/>
        <w:rPr>
          <w:rFonts w:ascii="Arial" w:hAnsi="Arial" w:cs="Arial"/>
          <w:sz w:val="21"/>
          <w:szCs w:val="21"/>
        </w:rPr>
      </w:pPr>
      <w:r>
        <w:rPr>
          <w:rFonts w:ascii="Arial" w:hAnsi="Arial" w:cs="Arial"/>
          <w:sz w:val="21"/>
          <w:szCs w:val="21"/>
        </w:rPr>
        <w:t>Borgogno Giulia</w:t>
      </w:r>
    </w:p>
    <w:p w:rsidR="00722E2A" w:rsidRDefault="00722E2A" w:rsidP="00582DE2">
      <w:pPr>
        <w:pStyle w:val="Corpodeltesto2"/>
        <w:rPr>
          <w:rFonts w:ascii="Arial" w:hAnsi="Arial" w:cs="Arial"/>
          <w:sz w:val="21"/>
          <w:szCs w:val="21"/>
        </w:rPr>
      </w:pPr>
      <w:r>
        <w:rPr>
          <w:rFonts w:ascii="Arial" w:hAnsi="Arial" w:cs="Arial"/>
          <w:sz w:val="21"/>
          <w:szCs w:val="21"/>
        </w:rPr>
        <w:t>Debortolo Ilaria</w:t>
      </w:r>
    </w:p>
    <w:p w:rsidR="00722E2A" w:rsidRDefault="00722E2A" w:rsidP="00582DE2">
      <w:pPr>
        <w:pStyle w:val="Corpodeltesto2"/>
        <w:rPr>
          <w:rFonts w:ascii="Arial" w:hAnsi="Arial" w:cs="Arial"/>
          <w:sz w:val="21"/>
          <w:szCs w:val="21"/>
        </w:rPr>
      </w:pPr>
      <w:r>
        <w:rPr>
          <w:rFonts w:ascii="Arial" w:hAnsi="Arial" w:cs="Arial"/>
          <w:sz w:val="21"/>
          <w:szCs w:val="21"/>
        </w:rPr>
        <w:t>Fedele Paolo</w:t>
      </w:r>
    </w:p>
    <w:p w:rsidR="00722E2A" w:rsidRDefault="00722E2A" w:rsidP="00582DE2">
      <w:pPr>
        <w:pStyle w:val="Corpodeltesto2"/>
        <w:rPr>
          <w:rFonts w:ascii="Arial" w:hAnsi="Arial" w:cs="Arial"/>
          <w:sz w:val="21"/>
          <w:szCs w:val="21"/>
        </w:rPr>
      </w:pPr>
      <w:r>
        <w:rPr>
          <w:rFonts w:ascii="Arial" w:hAnsi="Arial" w:cs="Arial"/>
          <w:sz w:val="21"/>
          <w:szCs w:val="21"/>
        </w:rPr>
        <w:t>Minati Marianna</w:t>
      </w:r>
    </w:p>
    <w:p w:rsidR="00722E2A" w:rsidRDefault="00722E2A" w:rsidP="00582DE2">
      <w:pPr>
        <w:pStyle w:val="Corpodeltesto2"/>
        <w:rPr>
          <w:rFonts w:ascii="Arial" w:hAnsi="Arial" w:cs="Arial"/>
          <w:sz w:val="21"/>
          <w:szCs w:val="21"/>
        </w:rPr>
      </w:pPr>
      <w:r>
        <w:rPr>
          <w:rFonts w:ascii="Arial" w:hAnsi="Arial" w:cs="Arial"/>
          <w:sz w:val="21"/>
          <w:szCs w:val="21"/>
        </w:rPr>
        <w:t>Stroppa Nicola</w:t>
      </w:r>
    </w:p>
    <w:p w:rsidR="00722E2A" w:rsidRDefault="00722E2A" w:rsidP="00582DE2">
      <w:pPr>
        <w:pStyle w:val="Corpodeltesto2"/>
        <w:rPr>
          <w:rFonts w:ascii="Arial" w:hAnsi="Arial" w:cs="Arial"/>
          <w:sz w:val="21"/>
          <w:szCs w:val="21"/>
        </w:rPr>
      </w:pPr>
      <w:r>
        <w:rPr>
          <w:rFonts w:ascii="Arial" w:hAnsi="Arial" w:cs="Arial"/>
          <w:sz w:val="21"/>
          <w:szCs w:val="21"/>
        </w:rPr>
        <w:lastRenderedPageBreak/>
        <w:t>Trentin Alessia</w:t>
      </w:r>
    </w:p>
    <w:p w:rsidR="00722E2A" w:rsidRDefault="00722E2A" w:rsidP="00582DE2">
      <w:pPr>
        <w:pStyle w:val="Corpodeltesto2"/>
        <w:rPr>
          <w:rFonts w:ascii="Arial" w:hAnsi="Arial" w:cs="Arial"/>
          <w:sz w:val="21"/>
          <w:szCs w:val="21"/>
        </w:rPr>
      </w:pPr>
      <w:r>
        <w:rPr>
          <w:rFonts w:ascii="Arial" w:hAnsi="Arial" w:cs="Arial"/>
          <w:sz w:val="21"/>
          <w:szCs w:val="21"/>
        </w:rPr>
        <w:t>Trentin Bruno</w:t>
      </w:r>
    </w:p>
    <w:p w:rsidR="00722E2A" w:rsidRDefault="00722E2A" w:rsidP="00582DE2">
      <w:pPr>
        <w:pStyle w:val="Corpodeltesto2"/>
        <w:rPr>
          <w:rFonts w:ascii="Arial" w:hAnsi="Arial" w:cs="Arial"/>
          <w:sz w:val="21"/>
          <w:szCs w:val="21"/>
        </w:rPr>
      </w:pPr>
      <w:r>
        <w:rPr>
          <w:rFonts w:ascii="Arial" w:hAnsi="Arial" w:cs="Arial"/>
          <w:sz w:val="21"/>
          <w:szCs w:val="21"/>
        </w:rPr>
        <w:t>Trentin Fulvio</w:t>
      </w:r>
    </w:p>
    <w:p w:rsidR="00722E2A" w:rsidRDefault="00722E2A" w:rsidP="00582DE2">
      <w:pPr>
        <w:pStyle w:val="Corpodeltesto2"/>
        <w:rPr>
          <w:rFonts w:ascii="Arial" w:hAnsi="Arial" w:cs="Arial"/>
          <w:sz w:val="21"/>
          <w:szCs w:val="21"/>
        </w:rPr>
      </w:pPr>
      <w:r>
        <w:rPr>
          <w:rFonts w:ascii="Arial" w:hAnsi="Arial" w:cs="Arial"/>
          <w:sz w:val="21"/>
          <w:szCs w:val="21"/>
        </w:rPr>
        <w:t>Trentin Gabriele</w:t>
      </w:r>
    </w:p>
    <w:p w:rsidR="00722E2A" w:rsidRDefault="00722E2A" w:rsidP="00582DE2">
      <w:pPr>
        <w:pStyle w:val="Corpodeltesto2"/>
        <w:rPr>
          <w:rFonts w:ascii="Arial" w:hAnsi="Arial" w:cs="Arial"/>
          <w:sz w:val="21"/>
          <w:szCs w:val="21"/>
        </w:rPr>
      </w:pPr>
      <w:r>
        <w:rPr>
          <w:rFonts w:ascii="Arial" w:hAnsi="Arial" w:cs="Arial"/>
          <w:sz w:val="21"/>
          <w:szCs w:val="21"/>
        </w:rPr>
        <w:t>Trentin Sergio</w:t>
      </w:r>
    </w:p>
    <w:p w:rsidR="00582DE2" w:rsidRDefault="00582DE2" w:rsidP="00582DE2">
      <w:pPr>
        <w:pStyle w:val="Corpodeltesto2"/>
        <w:spacing w:before="120"/>
        <w:rPr>
          <w:rFonts w:ascii="Arial" w:hAnsi="Arial" w:cs="Arial"/>
          <w:b/>
          <w:sz w:val="21"/>
          <w:szCs w:val="21"/>
          <w:u w:val="single"/>
        </w:rPr>
      </w:pPr>
      <w:r>
        <w:rPr>
          <w:rFonts w:ascii="Arial" w:hAnsi="Arial" w:cs="Arial"/>
          <w:b/>
          <w:sz w:val="21"/>
          <w:szCs w:val="21"/>
          <w:u w:val="single"/>
        </w:rPr>
        <w:t>Giunta Comunale</w:t>
      </w:r>
    </w:p>
    <w:p w:rsidR="00582DE2" w:rsidRDefault="00722E2A" w:rsidP="00582DE2">
      <w:pPr>
        <w:pStyle w:val="Corpodeltesto2"/>
        <w:rPr>
          <w:rFonts w:ascii="Arial" w:hAnsi="Arial" w:cs="Arial"/>
          <w:sz w:val="21"/>
          <w:szCs w:val="21"/>
        </w:rPr>
      </w:pPr>
      <w:r>
        <w:rPr>
          <w:rFonts w:ascii="Arial" w:hAnsi="Arial" w:cs="Arial"/>
          <w:sz w:val="21"/>
          <w:szCs w:val="21"/>
        </w:rPr>
        <w:t xml:space="preserve">Giampaolo Bonella </w:t>
      </w:r>
      <w:r w:rsidR="00582DE2">
        <w:rPr>
          <w:rFonts w:ascii="Arial" w:hAnsi="Arial" w:cs="Arial"/>
          <w:sz w:val="21"/>
          <w:szCs w:val="21"/>
        </w:rPr>
        <w:t>- Sindaco</w:t>
      </w:r>
    </w:p>
    <w:p w:rsidR="00722E2A" w:rsidRDefault="00722E2A" w:rsidP="00582DE2">
      <w:pPr>
        <w:pStyle w:val="Corpodeltesto2"/>
        <w:rPr>
          <w:rFonts w:ascii="Arial" w:hAnsi="Arial" w:cs="Arial"/>
          <w:sz w:val="21"/>
          <w:szCs w:val="21"/>
        </w:rPr>
      </w:pPr>
      <w:r>
        <w:rPr>
          <w:rFonts w:ascii="Arial" w:hAnsi="Arial" w:cs="Arial"/>
          <w:sz w:val="21"/>
          <w:szCs w:val="21"/>
        </w:rPr>
        <w:t>Andrea Trentin</w:t>
      </w:r>
      <w:r w:rsidR="004A5BDB">
        <w:rPr>
          <w:rFonts w:ascii="Arial" w:hAnsi="Arial" w:cs="Arial"/>
          <w:sz w:val="21"/>
          <w:szCs w:val="21"/>
        </w:rPr>
        <w:t xml:space="preserve"> - Vicesindaco</w:t>
      </w:r>
    </w:p>
    <w:p w:rsidR="00582DE2" w:rsidRDefault="004A5BDB" w:rsidP="00582DE2">
      <w:pPr>
        <w:pStyle w:val="Corpodeltesto2"/>
        <w:rPr>
          <w:rFonts w:ascii="Arial" w:hAnsi="Arial" w:cs="Arial"/>
          <w:sz w:val="21"/>
          <w:szCs w:val="21"/>
        </w:rPr>
      </w:pPr>
      <w:r>
        <w:rPr>
          <w:rFonts w:ascii="Arial" w:hAnsi="Arial" w:cs="Arial"/>
          <w:sz w:val="21"/>
          <w:szCs w:val="21"/>
        </w:rPr>
        <w:t>Borgogno Giulia</w:t>
      </w:r>
    </w:p>
    <w:p w:rsidR="00722E2A" w:rsidRDefault="00722E2A" w:rsidP="00582DE2">
      <w:pPr>
        <w:pStyle w:val="Corpodeltesto2"/>
        <w:rPr>
          <w:rFonts w:ascii="Arial" w:hAnsi="Arial" w:cs="Arial"/>
          <w:sz w:val="21"/>
          <w:szCs w:val="21"/>
        </w:rPr>
      </w:pPr>
      <w:r>
        <w:rPr>
          <w:rFonts w:ascii="Arial" w:hAnsi="Arial" w:cs="Arial"/>
          <w:sz w:val="21"/>
          <w:szCs w:val="21"/>
        </w:rPr>
        <w:t>Sergio Trentin</w:t>
      </w:r>
    </w:p>
    <w:p w:rsidR="00722E2A" w:rsidRDefault="00722E2A" w:rsidP="00582DE2">
      <w:pPr>
        <w:pStyle w:val="Corpodeltesto2"/>
        <w:rPr>
          <w:rFonts w:ascii="Arial" w:hAnsi="Arial" w:cs="Arial"/>
          <w:sz w:val="21"/>
          <w:szCs w:val="21"/>
        </w:rPr>
      </w:pPr>
    </w:p>
    <w:p w:rsidR="00582DE2" w:rsidRDefault="00582DE2" w:rsidP="00582DE2">
      <w:pPr>
        <w:pStyle w:val="Corpodeltesto2"/>
        <w:tabs>
          <w:tab w:val="left" w:pos="142"/>
          <w:tab w:val="left" w:pos="923"/>
          <w:tab w:val="left" w:pos="1206"/>
        </w:tabs>
        <w:rPr>
          <w:rFonts w:ascii="Arial" w:hAnsi="Arial" w:cs="Arial"/>
          <w:sz w:val="21"/>
          <w:szCs w:val="21"/>
        </w:rPr>
      </w:pPr>
    </w:p>
    <w:p w:rsidR="00582DE2" w:rsidRDefault="00582DE2" w:rsidP="00582DE2">
      <w:pPr>
        <w:pStyle w:val="Corpodeltesto2"/>
        <w:pBdr>
          <w:top w:val="single" w:sz="4" w:space="1" w:color="000000"/>
          <w:left w:val="single" w:sz="4" w:space="4" w:color="000000"/>
          <w:bottom w:val="single" w:sz="4" w:space="1" w:color="000000"/>
          <w:right w:val="single" w:sz="4" w:space="4" w:color="000000"/>
        </w:pBdr>
        <w:shd w:val="clear" w:color="auto" w:fill="F2F2F2"/>
        <w:spacing w:before="100"/>
        <w:jc w:val="center"/>
        <w:rPr>
          <w:rFonts w:ascii="Arial" w:hAnsi="Arial" w:cs="Arial"/>
          <w:i/>
          <w:sz w:val="21"/>
          <w:szCs w:val="21"/>
        </w:rPr>
      </w:pPr>
      <w:r>
        <w:rPr>
          <w:rFonts w:ascii="Arial" w:hAnsi="Arial" w:cs="Arial"/>
          <w:i/>
          <w:sz w:val="21"/>
          <w:szCs w:val="21"/>
        </w:rPr>
        <w:t>Parte gestionale</w:t>
      </w:r>
    </w:p>
    <w:p w:rsidR="00582DE2" w:rsidRPr="00E025F6" w:rsidRDefault="00582DE2" w:rsidP="00EE4C89">
      <w:pPr>
        <w:pStyle w:val="Corpodeltesto2"/>
        <w:tabs>
          <w:tab w:val="left" w:pos="4820"/>
        </w:tabs>
        <w:spacing w:before="120"/>
      </w:pPr>
      <w:r w:rsidRPr="00E025F6">
        <w:rPr>
          <w:rFonts w:ascii="Arial" w:hAnsi="Arial" w:cs="Arial"/>
          <w:b/>
          <w:sz w:val="21"/>
          <w:szCs w:val="21"/>
          <w:u w:val="single"/>
        </w:rPr>
        <w:t xml:space="preserve">Segretario comunale </w:t>
      </w:r>
      <w:r w:rsidR="00D91190" w:rsidRPr="00E025F6">
        <w:rPr>
          <w:rFonts w:ascii="Arial" w:hAnsi="Arial" w:cs="Arial"/>
          <w:b/>
          <w:sz w:val="21"/>
          <w:szCs w:val="21"/>
          <w:u w:val="single"/>
        </w:rPr>
        <w:t xml:space="preserve">reggente </w:t>
      </w:r>
      <w:r w:rsidRPr="00E025F6">
        <w:rPr>
          <w:rFonts w:ascii="Arial" w:hAnsi="Arial" w:cs="Arial"/>
          <w:b/>
          <w:sz w:val="21"/>
          <w:szCs w:val="21"/>
          <w:u w:val="single"/>
        </w:rPr>
        <w:t>(in gestione associata</w:t>
      </w:r>
      <w:r w:rsidR="00691063" w:rsidRPr="00E025F6">
        <w:rPr>
          <w:rFonts w:ascii="Arial" w:hAnsi="Arial" w:cs="Arial"/>
          <w:b/>
          <w:sz w:val="21"/>
          <w:szCs w:val="21"/>
          <w:u w:val="single"/>
        </w:rPr>
        <w:t xml:space="preserve"> Comune Capofila - Telve</w:t>
      </w:r>
      <w:r w:rsidRPr="00E025F6">
        <w:rPr>
          <w:rFonts w:ascii="Arial" w:hAnsi="Arial" w:cs="Arial"/>
          <w:b/>
          <w:sz w:val="21"/>
          <w:szCs w:val="21"/>
          <w:u w:val="single"/>
        </w:rPr>
        <w:t>):</w:t>
      </w:r>
      <w:r w:rsidR="00D91190" w:rsidRPr="00E025F6">
        <w:rPr>
          <w:rFonts w:ascii="Arial" w:hAnsi="Arial" w:cs="Arial"/>
          <w:sz w:val="21"/>
          <w:szCs w:val="21"/>
        </w:rPr>
        <w:t xml:space="preserve">  Comite Maria</w:t>
      </w:r>
    </w:p>
    <w:p w:rsidR="00582DE2" w:rsidRDefault="00582DE2" w:rsidP="00582DE2">
      <w:pPr>
        <w:pStyle w:val="Corpodeltesto2"/>
        <w:spacing w:before="240"/>
        <w:rPr>
          <w:rFonts w:ascii="Arial" w:hAnsi="Arial" w:cs="Arial"/>
          <w:b/>
          <w:i/>
          <w:sz w:val="21"/>
          <w:szCs w:val="21"/>
          <w:u w:val="single"/>
        </w:rPr>
      </w:pPr>
      <w:r>
        <w:rPr>
          <w:rFonts w:ascii="Arial" w:hAnsi="Arial" w:cs="Arial"/>
          <w:b/>
          <w:i/>
          <w:sz w:val="21"/>
          <w:szCs w:val="21"/>
          <w:u w:val="single"/>
        </w:rPr>
        <w:t>Servizio Segreteria</w:t>
      </w:r>
      <w:r w:rsidR="00311DCB">
        <w:rPr>
          <w:rFonts w:ascii="Arial" w:hAnsi="Arial" w:cs="Arial"/>
          <w:b/>
          <w:i/>
          <w:sz w:val="21"/>
          <w:szCs w:val="21"/>
          <w:u w:val="single"/>
        </w:rPr>
        <w:t>, Affari generali</w:t>
      </w:r>
    </w:p>
    <w:p w:rsidR="00582DE2" w:rsidRDefault="00582DE2" w:rsidP="00311DCB">
      <w:pPr>
        <w:pStyle w:val="Corpodeltesto2"/>
        <w:tabs>
          <w:tab w:val="left" w:pos="4536"/>
        </w:tabs>
      </w:pPr>
      <w:r w:rsidRPr="00311DCB">
        <w:rPr>
          <w:rFonts w:ascii="Arial" w:hAnsi="Arial" w:cs="Arial"/>
          <w:i/>
          <w:sz w:val="21"/>
          <w:szCs w:val="21"/>
          <w:u w:val="single"/>
        </w:rPr>
        <w:t>Responsabile</w:t>
      </w:r>
      <w:r w:rsidRPr="00311DCB">
        <w:rPr>
          <w:rFonts w:ascii="Arial" w:hAnsi="Arial" w:cs="Arial"/>
          <w:sz w:val="21"/>
          <w:szCs w:val="21"/>
          <w:u w:val="single"/>
        </w:rPr>
        <w:t>:</w:t>
      </w:r>
      <w:r w:rsidR="00311DCB">
        <w:rPr>
          <w:rFonts w:ascii="Arial" w:hAnsi="Arial" w:cs="Arial"/>
          <w:sz w:val="21"/>
          <w:szCs w:val="21"/>
          <w:u w:val="single"/>
        </w:rPr>
        <w:t xml:space="preserve"> </w:t>
      </w:r>
      <w:r>
        <w:rPr>
          <w:rFonts w:ascii="Arial" w:hAnsi="Arial" w:cs="Arial"/>
          <w:sz w:val="21"/>
          <w:szCs w:val="21"/>
        </w:rPr>
        <w:tab/>
      </w:r>
      <w:r w:rsidR="00311DCB">
        <w:rPr>
          <w:rFonts w:ascii="Arial" w:hAnsi="Arial" w:cs="Arial"/>
          <w:sz w:val="21"/>
          <w:szCs w:val="21"/>
        </w:rPr>
        <w:t xml:space="preserve">       </w:t>
      </w:r>
      <w:r w:rsidR="00D91190">
        <w:rPr>
          <w:rFonts w:ascii="Arial" w:hAnsi="Arial" w:cs="Arial"/>
          <w:sz w:val="21"/>
          <w:szCs w:val="21"/>
        </w:rPr>
        <w:t>Comite Maria</w:t>
      </w:r>
    </w:p>
    <w:p w:rsidR="00582DE2" w:rsidRPr="00EE4C89" w:rsidRDefault="00582DE2" w:rsidP="00EE4C89">
      <w:pPr>
        <w:pStyle w:val="Corpodeltesto2"/>
        <w:rPr>
          <w:rFonts w:ascii="Arial" w:hAnsi="Arial" w:cs="Arial"/>
          <w:iCs/>
          <w:sz w:val="21"/>
          <w:szCs w:val="21"/>
        </w:rPr>
      </w:pPr>
      <w:r>
        <w:rPr>
          <w:rFonts w:ascii="Arial" w:hAnsi="Arial" w:cs="Arial"/>
          <w:i/>
          <w:sz w:val="21"/>
          <w:szCs w:val="21"/>
        </w:rPr>
        <w:t xml:space="preserve">Personale assegnato: </w:t>
      </w:r>
      <w:r>
        <w:rPr>
          <w:rFonts w:ascii="Arial" w:hAnsi="Arial" w:cs="Arial"/>
          <w:i/>
          <w:sz w:val="21"/>
          <w:szCs w:val="21"/>
        </w:rPr>
        <w:tab/>
      </w:r>
      <w:r>
        <w:rPr>
          <w:rFonts w:ascii="Arial" w:hAnsi="Arial" w:cs="Arial"/>
          <w:i/>
          <w:sz w:val="21"/>
          <w:szCs w:val="21"/>
        </w:rPr>
        <w:tab/>
      </w:r>
      <w:r>
        <w:rPr>
          <w:rFonts w:ascii="Arial" w:hAnsi="Arial" w:cs="Arial"/>
          <w:i/>
          <w:sz w:val="21"/>
          <w:szCs w:val="21"/>
        </w:rPr>
        <w:tab/>
      </w:r>
      <w:r>
        <w:rPr>
          <w:rFonts w:ascii="Arial" w:hAnsi="Arial" w:cs="Arial"/>
          <w:i/>
          <w:sz w:val="21"/>
          <w:szCs w:val="21"/>
        </w:rPr>
        <w:tab/>
      </w:r>
      <w:r w:rsidRPr="00EE4C89">
        <w:rPr>
          <w:rFonts w:ascii="Arial" w:hAnsi="Arial" w:cs="Arial"/>
          <w:iCs/>
          <w:sz w:val="21"/>
          <w:szCs w:val="21"/>
        </w:rPr>
        <w:tab/>
      </w:r>
      <w:r w:rsidR="00AE18B4" w:rsidRPr="00EE4C89">
        <w:rPr>
          <w:rFonts w:ascii="Arial" w:hAnsi="Arial" w:cs="Arial"/>
          <w:iCs/>
          <w:sz w:val="21"/>
          <w:szCs w:val="21"/>
        </w:rPr>
        <w:t>Roberta</w:t>
      </w:r>
      <w:r w:rsidRPr="00EE4C89">
        <w:rPr>
          <w:rFonts w:ascii="Arial" w:hAnsi="Arial" w:cs="Arial"/>
          <w:iCs/>
          <w:sz w:val="21"/>
          <w:szCs w:val="21"/>
        </w:rPr>
        <w:t xml:space="preserve"> </w:t>
      </w:r>
      <w:r w:rsidR="00EE4C89" w:rsidRPr="00EE4C89">
        <w:rPr>
          <w:rFonts w:ascii="Arial" w:hAnsi="Arial" w:cs="Arial"/>
          <w:iCs/>
          <w:sz w:val="21"/>
          <w:szCs w:val="21"/>
        </w:rPr>
        <w:t>Terragnolo</w:t>
      </w:r>
      <w:r>
        <w:rPr>
          <w:rFonts w:ascii="Arial" w:hAnsi="Arial" w:cs="Arial"/>
          <w:sz w:val="21"/>
          <w:szCs w:val="21"/>
        </w:rPr>
        <w:tab/>
      </w:r>
    </w:p>
    <w:p w:rsidR="00582DE2" w:rsidRDefault="00582DE2" w:rsidP="00582DE2">
      <w:pPr>
        <w:pStyle w:val="Corpodeltesto2"/>
        <w:spacing w:before="240"/>
        <w:rPr>
          <w:rFonts w:ascii="Arial" w:hAnsi="Arial" w:cs="Arial"/>
          <w:b/>
          <w:i/>
          <w:sz w:val="21"/>
          <w:szCs w:val="21"/>
          <w:u w:val="single"/>
        </w:rPr>
      </w:pPr>
      <w:r>
        <w:rPr>
          <w:rFonts w:ascii="Arial" w:hAnsi="Arial" w:cs="Arial"/>
          <w:b/>
          <w:i/>
          <w:sz w:val="21"/>
          <w:szCs w:val="21"/>
          <w:u w:val="single"/>
        </w:rPr>
        <w:t>Servizi</w:t>
      </w:r>
      <w:r w:rsidR="009C5FEC">
        <w:rPr>
          <w:rFonts w:ascii="Arial" w:hAnsi="Arial" w:cs="Arial"/>
          <w:b/>
          <w:i/>
          <w:sz w:val="21"/>
          <w:szCs w:val="21"/>
          <w:u w:val="single"/>
        </w:rPr>
        <w:t>o Affari</w:t>
      </w:r>
      <w:r>
        <w:rPr>
          <w:rFonts w:ascii="Arial" w:hAnsi="Arial" w:cs="Arial"/>
          <w:b/>
          <w:i/>
          <w:sz w:val="21"/>
          <w:szCs w:val="21"/>
          <w:u w:val="single"/>
        </w:rPr>
        <w:t xml:space="preserve"> Demografici</w:t>
      </w:r>
      <w:r w:rsidR="00EE4C89">
        <w:rPr>
          <w:rFonts w:ascii="Arial" w:hAnsi="Arial" w:cs="Arial"/>
          <w:b/>
          <w:i/>
          <w:sz w:val="21"/>
          <w:szCs w:val="21"/>
          <w:u w:val="single"/>
        </w:rPr>
        <w:t xml:space="preserve"> </w:t>
      </w:r>
    </w:p>
    <w:p w:rsidR="00582DE2" w:rsidRPr="00EE4C89" w:rsidRDefault="00582DE2" w:rsidP="00EE4C89">
      <w:pPr>
        <w:pStyle w:val="Corpodeltesto2"/>
        <w:tabs>
          <w:tab w:val="left" w:pos="142"/>
          <w:tab w:val="left" w:pos="923"/>
          <w:tab w:val="left" w:pos="1206"/>
        </w:tabs>
      </w:pPr>
      <w:r w:rsidRPr="00311DCB">
        <w:rPr>
          <w:rFonts w:ascii="Arial" w:hAnsi="Arial" w:cs="Arial"/>
          <w:iCs/>
          <w:sz w:val="21"/>
          <w:szCs w:val="21"/>
          <w:u w:val="single"/>
        </w:rPr>
        <w:t xml:space="preserve">Responsabile: </w:t>
      </w:r>
      <w:r w:rsidRPr="00311DCB">
        <w:rPr>
          <w:rFonts w:ascii="Arial" w:hAnsi="Arial" w:cs="Arial"/>
          <w:iCs/>
          <w:sz w:val="21"/>
          <w:szCs w:val="21"/>
          <w:u w:val="single"/>
        </w:rPr>
        <w:tab/>
      </w:r>
      <w:r>
        <w:rPr>
          <w:rFonts w:ascii="Arial" w:hAnsi="Arial" w:cs="Arial"/>
          <w:i/>
          <w:sz w:val="21"/>
          <w:szCs w:val="21"/>
        </w:rPr>
        <w:tab/>
      </w:r>
      <w:r>
        <w:rPr>
          <w:rFonts w:ascii="Arial" w:hAnsi="Arial" w:cs="Arial"/>
          <w:i/>
          <w:sz w:val="21"/>
          <w:szCs w:val="21"/>
        </w:rPr>
        <w:tab/>
      </w:r>
      <w:r>
        <w:rPr>
          <w:rFonts w:ascii="Arial" w:hAnsi="Arial" w:cs="Arial"/>
          <w:i/>
          <w:sz w:val="21"/>
          <w:szCs w:val="21"/>
        </w:rPr>
        <w:tab/>
      </w:r>
      <w:r>
        <w:rPr>
          <w:rFonts w:ascii="Arial" w:hAnsi="Arial" w:cs="Arial"/>
          <w:i/>
          <w:sz w:val="21"/>
          <w:szCs w:val="21"/>
        </w:rPr>
        <w:tab/>
      </w:r>
      <w:r>
        <w:rPr>
          <w:rFonts w:ascii="Arial" w:hAnsi="Arial" w:cs="Arial"/>
          <w:i/>
          <w:sz w:val="21"/>
          <w:szCs w:val="21"/>
        </w:rPr>
        <w:tab/>
      </w:r>
      <w:r w:rsidR="00AE18B4">
        <w:rPr>
          <w:rFonts w:ascii="Arial" w:hAnsi="Arial" w:cs="Arial"/>
          <w:sz w:val="21"/>
          <w:szCs w:val="21"/>
        </w:rPr>
        <w:t>Claudia Voltolini</w:t>
      </w:r>
    </w:p>
    <w:p w:rsidR="00582DE2" w:rsidRDefault="00582DE2" w:rsidP="00582DE2">
      <w:pPr>
        <w:pStyle w:val="Corpodeltesto2"/>
        <w:spacing w:before="240"/>
        <w:rPr>
          <w:rFonts w:ascii="Arial" w:hAnsi="Arial" w:cs="Arial"/>
          <w:b/>
          <w:i/>
          <w:sz w:val="21"/>
          <w:szCs w:val="21"/>
          <w:u w:val="single"/>
        </w:rPr>
      </w:pPr>
      <w:r>
        <w:rPr>
          <w:rFonts w:ascii="Arial" w:hAnsi="Arial" w:cs="Arial"/>
          <w:b/>
          <w:i/>
          <w:sz w:val="21"/>
          <w:szCs w:val="21"/>
          <w:u w:val="single"/>
        </w:rPr>
        <w:t>Servizio Tecnico</w:t>
      </w:r>
      <w:r w:rsidR="009C5FEC">
        <w:rPr>
          <w:rFonts w:ascii="Arial" w:hAnsi="Arial" w:cs="Arial"/>
          <w:b/>
          <w:i/>
          <w:sz w:val="21"/>
          <w:szCs w:val="21"/>
          <w:u w:val="single"/>
        </w:rPr>
        <w:t xml:space="preserve"> (in gestione associata – Comune Capofila – Telve)</w:t>
      </w:r>
      <w:r>
        <w:rPr>
          <w:rFonts w:ascii="Arial" w:hAnsi="Arial" w:cs="Arial"/>
          <w:b/>
          <w:i/>
          <w:sz w:val="21"/>
          <w:szCs w:val="21"/>
          <w:u w:val="single"/>
        </w:rPr>
        <w:t xml:space="preserve"> </w:t>
      </w:r>
    </w:p>
    <w:p w:rsidR="00582DE2" w:rsidRPr="00EE4C89" w:rsidRDefault="00582DE2" w:rsidP="00582DE2">
      <w:pPr>
        <w:pStyle w:val="Corpodeltesto2"/>
        <w:tabs>
          <w:tab w:val="left" w:pos="142"/>
          <w:tab w:val="left" w:pos="923"/>
          <w:tab w:val="left" w:pos="1206"/>
        </w:tabs>
        <w:rPr>
          <w:rFonts w:ascii="Arial" w:hAnsi="Arial" w:cs="Arial"/>
          <w:sz w:val="18"/>
          <w:szCs w:val="18"/>
        </w:rPr>
      </w:pPr>
      <w:r w:rsidRPr="00EE4C89">
        <w:rPr>
          <w:rFonts w:ascii="Arial" w:hAnsi="Arial" w:cs="Arial"/>
          <w:iCs/>
          <w:sz w:val="21"/>
          <w:szCs w:val="21"/>
          <w:u w:val="single"/>
        </w:rPr>
        <w:t xml:space="preserve">Responsabile </w:t>
      </w:r>
      <w:r w:rsidR="009C5FEC">
        <w:rPr>
          <w:rFonts w:ascii="Arial" w:hAnsi="Arial" w:cs="Arial"/>
          <w:iCs/>
          <w:sz w:val="21"/>
          <w:szCs w:val="21"/>
          <w:u w:val="single"/>
        </w:rPr>
        <w:t>Ufficio U</w:t>
      </w:r>
      <w:r w:rsidRPr="00EE4C89">
        <w:rPr>
          <w:rFonts w:ascii="Arial" w:hAnsi="Arial" w:cs="Arial"/>
          <w:iCs/>
          <w:sz w:val="21"/>
          <w:szCs w:val="21"/>
          <w:u w:val="single"/>
        </w:rPr>
        <w:t>rbanistica</w:t>
      </w:r>
      <w:r w:rsidR="00941CC6">
        <w:rPr>
          <w:rFonts w:ascii="Arial" w:hAnsi="Arial" w:cs="Arial"/>
          <w:iCs/>
          <w:sz w:val="21"/>
          <w:szCs w:val="21"/>
          <w:u w:val="single"/>
        </w:rPr>
        <w:t xml:space="preserve"> </w:t>
      </w:r>
      <w:r w:rsidRPr="00EE4C89">
        <w:rPr>
          <w:rFonts w:ascii="Arial" w:hAnsi="Arial" w:cs="Arial"/>
          <w:iCs/>
          <w:sz w:val="21"/>
          <w:szCs w:val="21"/>
        </w:rPr>
        <w:t xml:space="preserve">ed </w:t>
      </w:r>
      <w:r w:rsidRPr="00EE4C89">
        <w:rPr>
          <w:rFonts w:ascii="Arial" w:hAnsi="Arial" w:cs="Arial"/>
          <w:iCs/>
          <w:sz w:val="21"/>
          <w:szCs w:val="21"/>
          <w:u w:val="single"/>
        </w:rPr>
        <w:t xml:space="preserve">edilizia privata </w:t>
      </w:r>
      <w:r w:rsidRPr="00EE4C89">
        <w:rPr>
          <w:rFonts w:ascii="Arial" w:hAnsi="Arial" w:cs="Arial"/>
          <w:iCs/>
          <w:sz w:val="21"/>
          <w:szCs w:val="21"/>
        </w:rPr>
        <w:tab/>
        <w:t>Dario Gremes</w:t>
      </w:r>
      <w:r w:rsidR="00EE4C89" w:rsidRPr="00EE4C89">
        <w:rPr>
          <w:rFonts w:ascii="Arial" w:hAnsi="Arial" w:cs="Arial"/>
          <w:iCs/>
          <w:sz w:val="21"/>
          <w:szCs w:val="21"/>
        </w:rPr>
        <w:t xml:space="preserve"> </w:t>
      </w:r>
      <w:r w:rsidR="00EE4C89" w:rsidRPr="00EE4C89">
        <w:rPr>
          <w:rFonts w:ascii="Arial" w:hAnsi="Arial" w:cs="Arial"/>
          <w:sz w:val="18"/>
          <w:szCs w:val="18"/>
        </w:rPr>
        <w:t>(dipendente del Comune di Telve)</w:t>
      </w:r>
    </w:p>
    <w:p w:rsidR="00582DE2" w:rsidRPr="00EE4C89" w:rsidRDefault="00582DE2" w:rsidP="00AE18B4">
      <w:pPr>
        <w:pStyle w:val="Corpodeltesto2"/>
        <w:rPr>
          <w:rFonts w:ascii="Arial" w:hAnsi="Arial" w:cs="Arial"/>
          <w:iCs/>
          <w:sz w:val="21"/>
          <w:szCs w:val="21"/>
        </w:rPr>
      </w:pPr>
      <w:r w:rsidRPr="00EE4C89">
        <w:rPr>
          <w:rFonts w:ascii="Arial" w:hAnsi="Arial" w:cs="Arial"/>
          <w:iCs/>
          <w:sz w:val="21"/>
          <w:szCs w:val="21"/>
        </w:rPr>
        <w:t>Personale assegnato (cantiere comunale):</w:t>
      </w:r>
      <w:r w:rsidRPr="00EE4C89">
        <w:rPr>
          <w:rFonts w:ascii="Arial" w:hAnsi="Arial" w:cs="Arial"/>
          <w:iCs/>
          <w:sz w:val="21"/>
          <w:szCs w:val="21"/>
        </w:rPr>
        <w:tab/>
      </w:r>
      <w:r w:rsidRPr="00EE4C89">
        <w:rPr>
          <w:rFonts w:ascii="Arial" w:hAnsi="Arial" w:cs="Arial"/>
          <w:iCs/>
          <w:sz w:val="21"/>
          <w:szCs w:val="21"/>
        </w:rPr>
        <w:tab/>
      </w:r>
      <w:r w:rsidR="00D91190">
        <w:rPr>
          <w:rFonts w:ascii="Arial" w:hAnsi="Arial" w:cs="Arial"/>
          <w:iCs/>
          <w:sz w:val="21"/>
          <w:szCs w:val="21"/>
        </w:rPr>
        <w:t>Borgogno Sergio</w:t>
      </w:r>
    </w:p>
    <w:p w:rsidR="00582DE2" w:rsidRPr="00EE4C89" w:rsidRDefault="00582DE2" w:rsidP="00582DE2">
      <w:pPr>
        <w:pStyle w:val="Corpodeltesto2"/>
        <w:tabs>
          <w:tab w:val="left" w:pos="142"/>
          <w:tab w:val="left" w:pos="923"/>
          <w:tab w:val="left" w:pos="1206"/>
        </w:tabs>
        <w:rPr>
          <w:rFonts w:ascii="Arial" w:hAnsi="Arial" w:cs="Arial"/>
          <w:sz w:val="18"/>
          <w:szCs w:val="18"/>
        </w:rPr>
      </w:pPr>
      <w:r w:rsidRPr="00EE4C89">
        <w:rPr>
          <w:rFonts w:ascii="Arial" w:hAnsi="Arial" w:cs="Arial"/>
          <w:iCs/>
          <w:sz w:val="21"/>
          <w:szCs w:val="21"/>
          <w:u w:val="single"/>
        </w:rPr>
        <w:lastRenderedPageBreak/>
        <w:t xml:space="preserve">Responsabile </w:t>
      </w:r>
      <w:r w:rsidR="009C5FEC">
        <w:rPr>
          <w:rFonts w:ascii="Arial" w:hAnsi="Arial" w:cs="Arial"/>
          <w:iCs/>
          <w:sz w:val="21"/>
          <w:szCs w:val="21"/>
          <w:u w:val="single"/>
        </w:rPr>
        <w:t>Ufficio Lavori pubblici e</w:t>
      </w:r>
      <w:r w:rsidRPr="00EE4C89">
        <w:rPr>
          <w:rFonts w:ascii="Arial" w:hAnsi="Arial" w:cs="Arial"/>
          <w:iCs/>
          <w:sz w:val="21"/>
          <w:szCs w:val="21"/>
          <w:u w:val="single"/>
        </w:rPr>
        <w:t xml:space="preserve"> patrimonio:</w:t>
      </w:r>
      <w:r w:rsidRPr="00EE4C89">
        <w:rPr>
          <w:rFonts w:ascii="Arial" w:hAnsi="Arial" w:cs="Arial"/>
          <w:iCs/>
          <w:sz w:val="21"/>
          <w:szCs w:val="21"/>
        </w:rPr>
        <w:tab/>
        <w:t>Sabrina Ropele</w:t>
      </w:r>
      <w:r w:rsidR="00EE4C89" w:rsidRPr="00EE4C89">
        <w:rPr>
          <w:rFonts w:ascii="Arial" w:hAnsi="Arial" w:cs="Arial"/>
          <w:iCs/>
          <w:sz w:val="21"/>
          <w:szCs w:val="21"/>
        </w:rPr>
        <w:t xml:space="preserve"> (</w:t>
      </w:r>
      <w:r w:rsidR="00EE4C89" w:rsidRPr="00EE4C89">
        <w:rPr>
          <w:rFonts w:ascii="Arial" w:hAnsi="Arial" w:cs="Arial"/>
          <w:sz w:val="18"/>
          <w:szCs w:val="18"/>
        </w:rPr>
        <w:t>dipendente del Comune di Telve)</w:t>
      </w:r>
    </w:p>
    <w:p w:rsidR="009C5FEC" w:rsidRDefault="00582DE2" w:rsidP="009C5FEC">
      <w:pPr>
        <w:pStyle w:val="Corpodeltesto2"/>
        <w:tabs>
          <w:tab w:val="left" w:pos="142"/>
          <w:tab w:val="left" w:pos="923"/>
          <w:tab w:val="left" w:pos="1206"/>
        </w:tabs>
        <w:rPr>
          <w:rFonts w:ascii="Arial" w:hAnsi="Arial" w:cs="Arial"/>
          <w:i/>
          <w:sz w:val="21"/>
          <w:szCs w:val="21"/>
        </w:rPr>
      </w:pPr>
      <w:r w:rsidRPr="00EE4C89">
        <w:rPr>
          <w:rFonts w:ascii="Arial" w:hAnsi="Arial" w:cs="Arial"/>
          <w:iCs/>
          <w:sz w:val="21"/>
          <w:szCs w:val="21"/>
        </w:rPr>
        <w:t>Personale assegnato:</w:t>
      </w:r>
      <w:r w:rsidRPr="00EE4C89">
        <w:rPr>
          <w:rFonts w:ascii="Arial" w:hAnsi="Arial" w:cs="Arial"/>
          <w:iCs/>
          <w:sz w:val="21"/>
          <w:szCs w:val="21"/>
        </w:rPr>
        <w:tab/>
      </w:r>
      <w:r w:rsidRPr="00EE4C89">
        <w:rPr>
          <w:rFonts w:ascii="Arial" w:hAnsi="Arial" w:cs="Arial"/>
          <w:iCs/>
          <w:sz w:val="21"/>
          <w:szCs w:val="21"/>
        </w:rPr>
        <w:tab/>
      </w:r>
      <w:r w:rsidRPr="00EE4C89">
        <w:rPr>
          <w:rFonts w:ascii="Arial" w:hAnsi="Arial" w:cs="Arial"/>
          <w:iCs/>
          <w:sz w:val="21"/>
          <w:szCs w:val="21"/>
        </w:rPr>
        <w:tab/>
      </w:r>
      <w:r w:rsidRPr="00EE4C89">
        <w:rPr>
          <w:rFonts w:ascii="Arial" w:hAnsi="Arial" w:cs="Arial"/>
          <w:iCs/>
          <w:sz w:val="21"/>
          <w:szCs w:val="21"/>
        </w:rPr>
        <w:tab/>
      </w:r>
      <w:r w:rsidRPr="00EE4C89">
        <w:rPr>
          <w:rFonts w:ascii="Arial" w:hAnsi="Arial" w:cs="Arial"/>
          <w:iCs/>
          <w:sz w:val="21"/>
          <w:szCs w:val="21"/>
        </w:rPr>
        <w:tab/>
        <w:t>David Perazzoli</w:t>
      </w:r>
      <w:r w:rsidR="00EE4C89" w:rsidRPr="00EE4C89">
        <w:rPr>
          <w:rFonts w:ascii="Arial" w:hAnsi="Arial" w:cs="Arial"/>
          <w:iCs/>
          <w:sz w:val="21"/>
          <w:szCs w:val="21"/>
        </w:rPr>
        <w:t xml:space="preserve"> </w:t>
      </w:r>
      <w:r w:rsidR="00EE4C89" w:rsidRPr="00EE4C89">
        <w:rPr>
          <w:rFonts w:ascii="Arial" w:hAnsi="Arial" w:cs="Arial"/>
          <w:sz w:val="18"/>
          <w:szCs w:val="18"/>
        </w:rPr>
        <w:t>(dipendente del Comune di Telve)</w:t>
      </w:r>
    </w:p>
    <w:p w:rsidR="00582DE2" w:rsidRDefault="00582DE2" w:rsidP="009C5FEC">
      <w:pPr>
        <w:pStyle w:val="Corpodeltesto2"/>
        <w:tabs>
          <w:tab w:val="left" w:pos="142"/>
          <w:tab w:val="left" w:pos="923"/>
          <w:tab w:val="left" w:pos="1206"/>
        </w:tabs>
        <w:rPr>
          <w:rFonts w:ascii="Arial" w:hAnsi="Arial" w:cs="Arial"/>
          <w:b/>
          <w:i/>
          <w:sz w:val="21"/>
          <w:szCs w:val="21"/>
          <w:u w:val="single"/>
        </w:rPr>
      </w:pPr>
      <w:r>
        <w:rPr>
          <w:rFonts w:ascii="Arial" w:hAnsi="Arial" w:cs="Arial"/>
          <w:b/>
          <w:i/>
          <w:sz w:val="21"/>
          <w:szCs w:val="21"/>
          <w:u w:val="single"/>
        </w:rPr>
        <w:t>Servizio Finanziario (in gestione associata</w:t>
      </w:r>
      <w:r w:rsidR="00311DCB">
        <w:rPr>
          <w:rFonts w:ascii="Arial" w:hAnsi="Arial" w:cs="Arial"/>
          <w:b/>
          <w:i/>
          <w:sz w:val="21"/>
          <w:szCs w:val="21"/>
          <w:u w:val="single"/>
        </w:rPr>
        <w:t xml:space="preserve"> – Comune Capofila </w:t>
      </w:r>
      <w:r w:rsidR="00691063">
        <w:rPr>
          <w:rFonts w:ascii="Arial" w:hAnsi="Arial" w:cs="Arial"/>
          <w:b/>
          <w:i/>
          <w:sz w:val="21"/>
          <w:szCs w:val="21"/>
          <w:u w:val="single"/>
        </w:rPr>
        <w:t xml:space="preserve">- </w:t>
      </w:r>
      <w:r w:rsidR="00311DCB">
        <w:rPr>
          <w:rFonts w:ascii="Arial" w:hAnsi="Arial" w:cs="Arial"/>
          <w:b/>
          <w:i/>
          <w:sz w:val="21"/>
          <w:szCs w:val="21"/>
          <w:u w:val="single"/>
        </w:rPr>
        <w:t>Telve</w:t>
      </w:r>
      <w:r>
        <w:rPr>
          <w:rFonts w:ascii="Arial" w:hAnsi="Arial" w:cs="Arial"/>
          <w:b/>
          <w:i/>
          <w:sz w:val="21"/>
          <w:szCs w:val="21"/>
          <w:u w:val="single"/>
        </w:rPr>
        <w:t>)</w:t>
      </w:r>
    </w:p>
    <w:p w:rsidR="00582DE2" w:rsidRDefault="00582DE2" w:rsidP="00EE4C89">
      <w:pPr>
        <w:pStyle w:val="Corpodeltesto2"/>
        <w:tabs>
          <w:tab w:val="left" w:pos="142"/>
          <w:tab w:val="left" w:pos="923"/>
          <w:tab w:val="left" w:pos="1206"/>
          <w:tab w:val="left" w:pos="4395"/>
        </w:tabs>
      </w:pPr>
      <w:r w:rsidRPr="00311DCB">
        <w:rPr>
          <w:rFonts w:ascii="Arial" w:hAnsi="Arial" w:cs="Arial"/>
          <w:i/>
          <w:sz w:val="21"/>
          <w:szCs w:val="21"/>
          <w:u w:val="single"/>
        </w:rPr>
        <w:t>Responsabile</w:t>
      </w:r>
      <w:r w:rsidRPr="00311DCB">
        <w:rPr>
          <w:rFonts w:ascii="Arial" w:hAnsi="Arial" w:cs="Arial"/>
          <w:sz w:val="21"/>
          <w:szCs w:val="21"/>
          <w:u w:val="single"/>
        </w:rPr>
        <w:t>:</w:t>
      </w:r>
      <w:r>
        <w:rPr>
          <w:rFonts w:ascii="Arial" w:hAnsi="Arial" w:cs="Arial"/>
          <w:sz w:val="21"/>
          <w:szCs w:val="21"/>
        </w:rPr>
        <w:tab/>
        <w:t xml:space="preserve">Mara Casagranda </w:t>
      </w:r>
      <w:r>
        <w:rPr>
          <w:rFonts w:ascii="Arial" w:hAnsi="Arial" w:cs="Arial"/>
          <w:sz w:val="18"/>
          <w:szCs w:val="18"/>
        </w:rPr>
        <w:t>(dipendente Comune di Castelnuovo)</w:t>
      </w:r>
    </w:p>
    <w:p w:rsidR="00582DE2" w:rsidRPr="00EE4C89" w:rsidRDefault="00582DE2" w:rsidP="00582DE2">
      <w:pPr>
        <w:pStyle w:val="Corpodeltesto2"/>
        <w:tabs>
          <w:tab w:val="left" w:pos="142"/>
          <w:tab w:val="left" w:pos="923"/>
          <w:tab w:val="left" w:pos="1206"/>
        </w:tabs>
        <w:rPr>
          <w:rFonts w:ascii="Arial" w:hAnsi="Arial" w:cs="Arial"/>
          <w:sz w:val="18"/>
          <w:szCs w:val="18"/>
        </w:rPr>
      </w:pPr>
      <w:r>
        <w:rPr>
          <w:rFonts w:ascii="Arial" w:hAnsi="Arial" w:cs="Arial"/>
          <w:i/>
          <w:sz w:val="21"/>
          <w:szCs w:val="21"/>
        </w:rPr>
        <w:t>Personale assegnato:</w:t>
      </w:r>
      <w:r>
        <w:rPr>
          <w:rFonts w:ascii="Arial" w:hAnsi="Arial" w:cs="Arial"/>
          <w:i/>
          <w:sz w:val="21"/>
          <w:szCs w:val="21"/>
        </w:rPr>
        <w:tab/>
      </w:r>
      <w:r>
        <w:rPr>
          <w:rFonts w:ascii="Arial" w:hAnsi="Arial" w:cs="Arial"/>
          <w:i/>
          <w:sz w:val="21"/>
          <w:szCs w:val="21"/>
        </w:rPr>
        <w:tab/>
      </w:r>
      <w:r>
        <w:rPr>
          <w:rFonts w:ascii="Arial" w:hAnsi="Arial" w:cs="Arial"/>
          <w:i/>
          <w:sz w:val="21"/>
          <w:szCs w:val="21"/>
        </w:rPr>
        <w:tab/>
      </w:r>
      <w:r>
        <w:rPr>
          <w:rFonts w:ascii="Arial" w:hAnsi="Arial" w:cs="Arial"/>
          <w:i/>
          <w:sz w:val="21"/>
          <w:szCs w:val="21"/>
        </w:rPr>
        <w:tab/>
      </w:r>
      <w:r>
        <w:rPr>
          <w:rFonts w:ascii="Arial" w:hAnsi="Arial" w:cs="Arial"/>
          <w:i/>
          <w:sz w:val="21"/>
          <w:szCs w:val="21"/>
        </w:rPr>
        <w:tab/>
      </w:r>
      <w:r>
        <w:rPr>
          <w:rFonts w:ascii="Arial" w:hAnsi="Arial" w:cs="Arial"/>
          <w:sz w:val="21"/>
          <w:szCs w:val="21"/>
        </w:rPr>
        <w:t>Ivana Poletto</w:t>
      </w:r>
      <w:r w:rsidR="00EE4C89">
        <w:rPr>
          <w:rFonts w:ascii="Arial" w:hAnsi="Arial" w:cs="Arial"/>
          <w:sz w:val="21"/>
          <w:szCs w:val="21"/>
        </w:rPr>
        <w:t xml:space="preserve"> </w:t>
      </w:r>
      <w:r w:rsidR="00EE4C89" w:rsidRPr="00EE4C89">
        <w:rPr>
          <w:rFonts w:ascii="Arial" w:hAnsi="Arial" w:cs="Arial"/>
          <w:sz w:val="18"/>
          <w:szCs w:val="18"/>
        </w:rPr>
        <w:t>(dipendente Comune di Telve)</w:t>
      </w:r>
    </w:p>
    <w:p w:rsidR="00582DE2" w:rsidRDefault="00582DE2" w:rsidP="00582DE2">
      <w:pPr>
        <w:pStyle w:val="Corpodeltesto2"/>
        <w:tabs>
          <w:tab w:val="left" w:pos="142"/>
          <w:tab w:val="left" w:pos="923"/>
          <w:tab w:val="left" w:pos="1206"/>
        </w:tabs>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 xml:space="preserve">Patrizia Sala </w:t>
      </w:r>
    </w:p>
    <w:p w:rsidR="00582DE2" w:rsidRDefault="00582DE2" w:rsidP="00582DE2">
      <w:pPr>
        <w:pStyle w:val="Corpodeltesto2"/>
        <w:tabs>
          <w:tab w:val="left" w:pos="142"/>
          <w:tab w:val="left" w:pos="923"/>
          <w:tab w:val="left" w:pos="1206"/>
        </w:tabs>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00D91190" w:rsidRPr="00E025F6">
        <w:rPr>
          <w:rFonts w:ascii="Arial" w:hAnsi="Arial" w:cs="Arial"/>
          <w:sz w:val="21"/>
          <w:szCs w:val="21"/>
        </w:rPr>
        <w:t>Tamini Carlotta</w:t>
      </w:r>
      <w:r w:rsidRPr="00E025F6">
        <w:rPr>
          <w:rFonts w:ascii="Arial" w:hAnsi="Arial" w:cs="Arial"/>
          <w:sz w:val="21"/>
          <w:szCs w:val="21"/>
        </w:rPr>
        <w:t xml:space="preserve"> </w:t>
      </w:r>
      <w:r w:rsidRPr="00E025F6">
        <w:rPr>
          <w:rFonts w:ascii="Arial" w:hAnsi="Arial" w:cs="Arial"/>
          <w:sz w:val="18"/>
          <w:szCs w:val="18"/>
        </w:rPr>
        <w:t>(dipendente Comune di Carzano)</w:t>
      </w:r>
    </w:p>
    <w:p w:rsidR="00582DE2" w:rsidRPr="00EE4C89" w:rsidRDefault="00582DE2" w:rsidP="00582DE2">
      <w:pPr>
        <w:pStyle w:val="Corpodeltesto2"/>
        <w:tabs>
          <w:tab w:val="left" w:pos="142"/>
          <w:tab w:val="left" w:pos="923"/>
          <w:tab w:val="left" w:pos="1206"/>
        </w:tabs>
        <w:rPr>
          <w:rFonts w:ascii="Arial" w:hAnsi="Arial" w:cs="Arial"/>
          <w:sz w:val="18"/>
          <w:szCs w:val="18"/>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Paolo Zanetti</w:t>
      </w:r>
      <w:r w:rsidR="00EE4C89">
        <w:rPr>
          <w:rFonts w:ascii="Arial" w:hAnsi="Arial" w:cs="Arial"/>
          <w:sz w:val="21"/>
          <w:szCs w:val="21"/>
        </w:rPr>
        <w:t xml:space="preserve"> (</w:t>
      </w:r>
      <w:r w:rsidR="00EE4C89" w:rsidRPr="00EE4C89">
        <w:rPr>
          <w:rFonts w:ascii="Arial" w:hAnsi="Arial" w:cs="Arial"/>
          <w:sz w:val="18"/>
          <w:szCs w:val="18"/>
        </w:rPr>
        <w:t>dipendente Comune di Telve)</w:t>
      </w:r>
    </w:p>
    <w:p w:rsidR="00582DE2" w:rsidRDefault="00582DE2" w:rsidP="00582DE2">
      <w:pPr>
        <w:pStyle w:val="Corpodeltesto2"/>
        <w:tabs>
          <w:tab w:val="left" w:pos="142"/>
          <w:tab w:val="left" w:pos="923"/>
          <w:tab w:val="left" w:pos="1206"/>
        </w:tabs>
        <w:rPr>
          <w:rFonts w:ascii="Arial" w:hAnsi="Arial" w:cs="Arial"/>
          <w:b/>
          <w:i/>
          <w:sz w:val="21"/>
          <w:szCs w:val="21"/>
          <w:u w:val="single"/>
        </w:rPr>
      </w:pPr>
      <w:r>
        <w:rPr>
          <w:rFonts w:ascii="Arial" w:hAnsi="Arial" w:cs="Arial"/>
          <w:b/>
          <w:i/>
          <w:sz w:val="21"/>
          <w:szCs w:val="21"/>
          <w:u w:val="single"/>
        </w:rPr>
        <w:t>Servizio Entrate e Tributi (in gestione associata</w:t>
      </w:r>
      <w:r w:rsidR="00311DCB">
        <w:rPr>
          <w:rFonts w:ascii="Arial" w:hAnsi="Arial" w:cs="Arial"/>
          <w:b/>
          <w:i/>
          <w:sz w:val="21"/>
          <w:szCs w:val="21"/>
          <w:u w:val="single"/>
        </w:rPr>
        <w:t xml:space="preserve"> – Comune Capofila </w:t>
      </w:r>
      <w:r w:rsidR="00691063">
        <w:rPr>
          <w:rFonts w:ascii="Arial" w:hAnsi="Arial" w:cs="Arial"/>
          <w:b/>
          <w:i/>
          <w:sz w:val="21"/>
          <w:szCs w:val="21"/>
          <w:u w:val="single"/>
        </w:rPr>
        <w:t xml:space="preserve">- </w:t>
      </w:r>
      <w:r w:rsidR="00311DCB">
        <w:rPr>
          <w:rFonts w:ascii="Arial" w:hAnsi="Arial" w:cs="Arial"/>
          <w:b/>
          <w:i/>
          <w:sz w:val="21"/>
          <w:szCs w:val="21"/>
          <w:u w:val="single"/>
        </w:rPr>
        <w:t>Telve</w:t>
      </w:r>
      <w:r>
        <w:rPr>
          <w:rFonts w:ascii="Arial" w:hAnsi="Arial" w:cs="Arial"/>
          <w:b/>
          <w:i/>
          <w:sz w:val="21"/>
          <w:szCs w:val="21"/>
          <w:u w:val="single"/>
        </w:rPr>
        <w:t>)</w:t>
      </w:r>
    </w:p>
    <w:p w:rsidR="00582DE2" w:rsidRDefault="00582DE2" w:rsidP="00582DE2">
      <w:pPr>
        <w:pStyle w:val="Corpodeltesto2"/>
      </w:pPr>
      <w:r w:rsidRPr="00311DCB">
        <w:rPr>
          <w:rFonts w:ascii="Arial" w:hAnsi="Arial" w:cs="Arial"/>
          <w:i/>
          <w:sz w:val="21"/>
          <w:szCs w:val="21"/>
          <w:u w:val="single"/>
        </w:rPr>
        <w:t>Responsabile</w:t>
      </w:r>
      <w:r>
        <w:rPr>
          <w:rFonts w:ascii="Arial" w:hAnsi="Arial" w:cs="Arial"/>
          <w:sz w:val="21"/>
          <w:szCs w:val="21"/>
        </w:rPr>
        <w:t>:</w:t>
      </w:r>
      <w:r>
        <w:rPr>
          <w:rFonts w:ascii="Arial" w:hAnsi="Arial" w:cs="Arial"/>
          <w:sz w:val="21"/>
          <w:szCs w:val="21"/>
        </w:rPr>
        <w:tab/>
        <w:t xml:space="preserve"> </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 xml:space="preserve">Elena Purin </w:t>
      </w:r>
      <w:r>
        <w:rPr>
          <w:rFonts w:ascii="Arial" w:hAnsi="Arial" w:cs="Arial"/>
          <w:sz w:val="18"/>
          <w:szCs w:val="18"/>
        </w:rPr>
        <w:t>(dipendente Comune di Castelnuovo)</w:t>
      </w:r>
    </w:p>
    <w:p w:rsidR="00582DE2" w:rsidRDefault="00582DE2" w:rsidP="00582DE2">
      <w:pPr>
        <w:pStyle w:val="Corpodeltesto2"/>
        <w:tabs>
          <w:tab w:val="left" w:pos="142"/>
          <w:tab w:val="left" w:pos="923"/>
          <w:tab w:val="left" w:pos="1206"/>
        </w:tabs>
      </w:pPr>
      <w:r>
        <w:rPr>
          <w:rFonts w:ascii="Arial" w:hAnsi="Arial" w:cs="Arial"/>
          <w:i/>
          <w:sz w:val="21"/>
          <w:szCs w:val="21"/>
        </w:rPr>
        <w:t>Personale assegnato:</w:t>
      </w:r>
      <w:r>
        <w:rPr>
          <w:rFonts w:ascii="Arial" w:hAnsi="Arial" w:cs="Arial"/>
          <w:i/>
          <w:sz w:val="21"/>
          <w:szCs w:val="21"/>
        </w:rPr>
        <w:tab/>
      </w:r>
      <w:r>
        <w:rPr>
          <w:rFonts w:ascii="Arial" w:hAnsi="Arial" w:cs="Arial"/>
          <w:i/>
          <w:sz w:val="21"/>
          <w:szCs w:val="21"/>
        </w:rPr>
        <w:tab/>
      </w:r>
      <w:r>
        <w:rPr>
          <w:rFonts w:ascii="Arial" w:hAnsi="Arial" w:cs="Arial"/>
          <w:i/>
          <w:sz w:val="21"/>
          <w:szCs w:val="21"/>
        </w:rPr>
        <w:tab/>
      </w:r>
      <w:r>
        <w:rPr>
          <w:rFonts w:ascii="Arial" w:hAnsi="Arial" w:cs="Arial"/>
          <w:i/>
          <w:sz w:val="21"/>
          <w:szCs w:val="21"/>
        </w:rPr>
        <w:tab/>
      </w:r>
      <w:r>
        <w:rPr>
          <w:rFonts w:ascii="Arial" w:hAnsi="Arial" w:cs="Arial"/>
          <w:i/>
          <w:sz w:val="21"/>
          <w:szCs w:val="21"/>
        </w:rPr>
        <w:tab/>
      </w:r>
      <w:r>
        <w:rPr>
          <w:rFonts w:ascii="Arial" w:hAnsi="Arial" w:cs="Arial"/>
          <w:sz w:val="21"/>
          <w:szCs w:val="21"/>
        </w:rPr>
        <w:t xml:space="preserve">Giada Dalsasso </w:t>
      </w:r>
      <w:r w:rsidR="00EE4C89" w:rsidRPr="00EE4C89">
        <w:rPr>
          <w:rFonts w:ascii="Arial" w:hAnsi="Arial" w:cs="Arial"/>
          <w:sz w:val="18"/>
          <w:szCs w:val="18"/>
        </w:rPr>
        <w:t>(dipendente Comune di Telve)</w:t>
      </w:r>
    </w:p>
    <w:p w:rsidR="00582DE2" w:rsidRPr="00311DCB" w:rsidRDefault="00311DCB" w:rsidP="00582DE2">
      <w:pPr>
        <w:pStyle w:val="Standard"/>
        <w:spacing w:before="100" w:after="0" w:line="240" w:lineRule="auto"/>
        <w:jc w:val="both"/>
        <w:rPr>
          <w:rFonts w:ascii="Arial" w:eastAsia="Calibri" w:hAnsi="Arial" w:cs="Arial"/>
          <w:b/>
          <w:bCs/>
          <w:sz w:val="21"/>
          <w:szCs w:val="21"/>
          <w:lang w:eastAsia="en-US"/>
        </w:rPr>
      </w:pPr>
      <w:r w:rsidRPr="00311DCB">
        <w:rPr>
          <w:rFonts w:ascii="Arial" w:eastAsia="Calibri" w:hAnsi="Arial" w:cs="Arial"/>
          <w:b/>
          <w:bCs/>
          <w:sz w:val="21"/>
          <w:szCs w:val="21"/>
          <w:lang w:eastAsia="en-US"/>
        </w:rPr>
        <w:t xml:space="preserve">Servizio di Custodia Forestale (in gestione associata – Comune Capofila </w:t>
      </w:r>
      <w:r w:rsidR="00691063">
        <w:rPr>
          <w:rFonts w:ascii="Arial" w:eastAsia="Calibri" w:hAnsi="Arial" w:cs="Arial"/>
          <w:b/>
          <w:bCs/>
          <w:sz w:val="21"/>
          <w:szCs w:val="21"/>
          <w:lang w:eastAsia="en-US"/>
        </w:rPr>
        <w:t xml:space="preserve">- </w:t>
      </w:r>
      <w:r w:rsidRPr="00311DCB">
        <w:rPr>
          <w:rFonts w:ascii="Arial" w:eastAsia="Calibri" w:hAnsi="Arial" w:cs="Arial"/>
          <w:b/>
          <w:bCs/>
          <w:sz w:val="21"/>
          <w:szCs w:val="21"/>
          <w:lang w:eastAsia="en-US"/>
        </w:rPr>
        <w:t>Telve)</w:t>
      </w:r>
    </w:p>
    <w:p w:rsidR="00311DCB" w:rsidRDefault="00311DCB" w:rsidP="00582DE2">
      <w:pPr>
        <w:pStyle w:val="Standard"/>
        <w:spacing w:before="100" w:after="0" w:line="240" w:lineRule="auto"/>
        <w:jc w:val="both"/>
        <w:rPr>
          <w:rFonts w:ascii="Arial" w:eastAsia="Calibri" w:hAnsi="Arial" w:cs="Arial"/>
          <w:sz w:val="21"/>
          <w:szCs w:val="21"/>
          <w:lang w:eastAsia="en-US"/>
        </w:rPr>
      </w:pPr>
    </w:p>
    <w:p w:rsidR="00311DCB" w:rsidRPr="00311DCB" w:rsidRDefault="00311DCB" w:rsidP="00582DE2">
      <w:pPr>
        <w:pStyle w:val="Standard"/>
        <w:spacing w:before="100" w:after="0" w:line="240" w:lineRule="auto"/>
        <w:jc w:val="both"/>
        <w:rPr>
          <w:rFonts w:ascii="Arial" w:eastAsia="Calibri" w:hAnsi="Arial" w:cs="Arial"/>
          <w:b/>
          <w:bCs/>
          <w:sz w:val="21"/>
          <w:szCs w:val="21"/>
          <w:lang w:eastAsia="en-US"/>
        </w:rPr>
      </w:pPr>
      <w:r w:rsidRPr="00311DCB">
        <w:rPr>
          <w:rFonts w:ascii="Arial" w:eastAsia="Calibri" w:hAnsi="Arial" w:cs="Arial"/>
          <w:b/>
          <w:bCs/>
          <w:sz w:val="21"/>
          <w:szCs w:val="21"/>
          <w:lang w:eastAsia="en-US"/>
        </w:rPr>
        <w:t xml:space="preserve">Servizio di Polizia Municipale (in gestione associata – Comune Capofila </w:t>
      </w:r>
      <w:r w:rsidR="00691063">
        <w:rPr>
          <w:rFonts w:ascii="Arial" w:eastAsia="Calibri" w:hAnsi="Arial" w:cs="Arial"/>
          <w:b/>
          <w:bCs/>
          <w:sz w:val="21"/>
          <w:szCs w:val="21"/>
          <w:lang w:eastAsia="en-US"/>
        </w:rPr>
        <w:t xml:space="preserve">- </w:t>
      </w:r>
      <w:r w:rsidRPr="00311DCB">
        <w:rPr>
          <w:rFonts w:ascii="Arial" w:eastAsia="Calibri" w:hAnsi="Arial" w:cs="Arial"/>
          <w:b/>
          <w:bCs/>
          <w:sz w:val="21"/>
          <w:szCs w:val="21"/>
          <w:lang w:eastAsia="en-US"/>
        </w:rPr>
        <w:t xml:space="preserve">Borgo Valsugana) </w:t>
      </w:r>
    </w:p>
    <w:p w:rsidR="00311DCB" w:rsidRDefault="00311DCB" w:rsidP="00582DE2">
      <w:pPr>
        <w:pStyle w:val="Standard"/>
        <w:spacing w:before="100" w:after="0" w:line="240" w:lineRule="auto"/>
        <w:jc w:val="both"/>
        <w:rPr>
          <w:rFonts w:ascii="Arial" w:eastAsia="Calibri" w:hAnsi="Arial" w:cs="Arial"/>
          <w:sz w:val="21"/>
          <w:szCs w:val="21"/>
          <w:lang w:eastAsia="en-US"/>
        </w:rPr>
      </w:pPr>
    </w:p>
    <w:p w:rsidR="00582DE2" w:rsidRDefault="00582DE2" w:rsidP="00582DE2">
      <w:pPr>
        <w:pStyle w:val="Standard"/>
        <w:spacing w:before="100" w:after="0" w:line="240" w:lineRule="auto"/>
        <w:jc w:val="both"/>
        <w:rPr>
          <w:rFonts w:ascii="Arial" w:eastAsia="Calibri" w:hAnsi="Arial" w:cs="Arial"/>
          <w:sz w:val="21"/>
          <w:szCs w:val="21"/>
          <w:lang w:eastAsia="en-US"/>
        </w:rPr>
      </w:pPr>
      <w:r>
        <w:rPr>
          <w:rFonts w:ascii="Arial" w:eastAsia="Calibri" w:hAnsi="Arial" w:cs="Arial"/>
          <w:sz w:val="21"/>
          <w:szCs w:val="21"/>
          <w:lang w:eastAsia="en-US"/>
        </w:rPr>
        <w:t>Si rappresenta che il presente Piano prende in considerazione esclusivamente i processi critici direttamente gestiti. A tal fine si sottolinea che tra questi non possono figurare quelli relativi ai seguenti servizi resi alla cittadinanza quali:</w:t>
      </w:r>
    </w:p>
    <w:p w:rsidR="00582DE2" w:rsidRPr="00993219" w:rsidRDefault="00582DE2" w:rsidP="00582DE2">
      <w:pPr>
        <w:pStyle w:val="Standard"/>
        <w:numPr>
          <w:ilvl w:val="0"/>
          <w:numId w:val="27"/>
        </w:numPr>
        <w:spacing w:before="100" w:after="0" w:line="240" w:lineRule="auto"/>
        <w:jc w:val="both"/>
      </w:pPr>
      <w:r>
        <w:rPr>
          <w:rFonts w:ascii="Arial" w:eastAsia="Calibri" w:hAnsi="Arial" w:cs="Arial"/>
          <w:sz w:val="21"/>
          <w:szCs w:val="21"/>
          <w:lang w:eastAsia="en-US"/>
        </w:rPr>
        <w:t>Servizio di Polizia locale, reso tramite gestione associata, della cui organizzazione risponde il Comune capofila di Borgo Valsugana;</w:t>
      </w:r>
    </w:p>
    <w:p w:rsidR="00993219" w:rsidRDefault="00993219" w:rsidP="00582DE2">
      <w:pPr>
        <w:pStyle w:val="Standard"/>
        <w:numPr>
          <w:ilvl w:val="0"/>
          <w:numId w:val="27"/>
        </w:numPr>
        <w:spacing w:before="100" w:after="0" w:line="240" w:lineRule="auto"/>
        <w:jc w:val="both"/>
      </w:pPr>
      <w:r>
        <w:rPr>
          <w:rFonts w:ascii="Arial" w:eastAsia="Calibri" w:hAnsi="Arial" w:cs="Arial"/>
          <w:sz w:val="21"/>
          <w:szCs w:val="21"/>
          <w:lang w:eastAsia="en-US"/>
        </w:rPr>
        <w:t>Servizio Custodia Forestale, reso tramite gestione associata, della cui organizzazione risponde il Comune capofila Telve;</w:t>
      </w:r>
    </w:p>
    <w:p w:rsidR="001673B1" w:rsidRDefault="00582DE2" w:rsidP="001673B1">
      <w:pPr>
        <w:pStyle w:val="Standard"/>
        <w:numPr>
          <w:ilvl w:val="0"/>
          <w:numId w:val="27"/>
        </w:numPr>
        <w:spacing w:before="100" w:after="0" w:line="240" w:lineRule="auto"/>
        <w:jc w:val="both"/>
      </w:pPr>
      <w:r>
        <w:rPr>
          <w:rFonts w:ascii="Arial" w:eastAsia="Calibri" w:hAnsi="Arial" w:cs="Arial"/>
          <w:sz w:val="21"/>
          <w:szCs w:val="21"/>
          <w:lang w:eastAsia="en-US"/>
        </w:rPr>
        <w:t>Servizio gestione dei rifiuti: reso tramite gestione associata, della cui organizzazione risponde la Comunità Valsugana e Tesino in qualità di ente capofila</w:t>
      </w:r>
      <w:r w:rsidR="001673B1">
        <w:rPr>
          <w:rFonts w:ascii="Arial" w:eastAsia="Calibri" w:hAnsi="Arial" w:cs="Arial"/>
          <w:sz w:val="21"/>
          <w:szCs w:val="21"/>
          <w:lang w:eastAsia="en-US"/>
        </w:rPr>
        <w:t>.</w:t>
      </w:r>
    </w:p>
    <w:p w:rsidR="00582DE2" w:rsidRPr="001673B1" w:rsidRDefault="00582DE2" w:rsidP="001673B1">
      <w:pPr>
        <w:pStyle w:val="Standard"/>
        <w:spacing w:before="100" w:after="0" w:line="240" w:lineRule="auto"/>
        <w:jc w:val="both"/>
        <w:rPr>
          <w:rFonts w:ascii="Arial" w:eastAsia="Calibri" w:hAnsi="Arial" w:cs="Arial"/>
          <w:sz w:val="21"/>
          <w:szCs w:val="21"/>
          <w:lang w:eastAsia="en-US"/>
        </w:rPr>
      </w:pPr>
      <w:r w:rsidRPr="001673B1">
        <w:rPr>
          <w:rFonts w:ascii="Arial" w:eastAsia="Calibri" w:hAnsi="Arial" w:cs="Arial"/>
          <w:sz w:val="21"/>
          <w:szCs w:val="21"/>
          <w:lang w:eastAsia="en-US"/>
        </w:rPr>
        <w:t>Sono inoltre resi in forma esternalizzata, e quindi dell’integrità degli operatori impegnati su tali attività dovrà necessariamente rispondere il soggetto gestore, i seguenti servizi:</w:t>
      </w:r>
    </w:p>
    <w:p w:rsidR="00582DE2" w:rsidRDefault="00582DE2" w:rsidP="0022777B">
      <w:pPr>
        <w:pStyle w:val="Standard"/>
        <w:numPr>
          <w:ilvl w:val="0"/>
          <w:numId w:val="27"/>
        </w:numPr>
        <w:spacing w:before="100" w:after="0" w:line="240" w:lineRule="auto"/>
        <w:jc w:val="both"/>
        <w:rPr>
          <w:rFonts w:ascii="Arial" w:eastAsia="Calibri" w:hAnsi="Arial" w:cs="Arial"/>
          <w:sz w:val="21"/>
          <w:szCs w:val="21"/>
          <w:lang w:eastAsia="en-US"/>
        </w:rPr>
      </w:pPr>
      <w:r w:rsidRPr="001673B1">
        <w:rPr>
          <w:rFonts w:ascii="Arial" w:eastAsia="Calibri" w:hAnsi="Arial" w:cs="Arial"/>
          <w:sz w:val="21"/>
          <w:szCs w:val="21"/>
          <w:lang w:eastAsia="en-US"/>
        </w:rPr>
        <w:t>distribuzione gas metano.</w:t>
      </w:r>
    </w:p>
    <w:p w:rsidR="0022777B" w:rsidRDefault="0022777B" w:rsidP="0022777B">
      <w:pPr>
        <w:pStyle w:val="Standard"/>
        <w:spacing w:before="100" w:after="0" w:line="240" w:lineRule="auto"/>
        <w:ind w:left="720"/>
        <w:jc w:val="both"/>
        <w:rPr>
          <w:rFonts w:ascii="Arial" w:eastAsia="Calibri" w:hAnsi="Arial" w:cs="Arial"/>
          <w:sz w:val="21"/>
          <w:szCs w:val="21"/>
          <w:lang w:eastAsia="en-US"/>
        </w:rPr>
      </w:pPr>
    </w:p>
    <w:p w:rsidR="0022777B" w:rsidRPr="0022777B" w:rsidRDefault="0022777B" w:rsidP="0022777B">
      <w:pPr>
        <w:pStyle w:val="Standard"/>
        <w:spacing w:before="100" w:after="0" w:line="240" w:lineRule="auto"/>
        <w:ind w:left="720"/>
        <w:jc w:val="both"/>
        <w:rPr>
          <w:rFonts w:ascii="Arial" w:eastAsia="Calibri" w:hAnsi="Arial" w:cs="Arial"/>
          <w:sz w:val="21"/>
          <w:szCs w:val="21"/>
          <w:lang w:eastAsia="en-US"/>
        </w:rPr>
      </w:pPr>
    </w:p>
    <w:p w:rsidR="00582DE2" w:rsidRDefault="00582DE2" w:rsidP="006F17AE">
      <w:pPr>
        <w:pStyle w:val="Titolo2"/>
        <w:jc w:val="left"/>
        <w:rPr>
          <w:rFonts w:ascii="Arial" w:hAnsi="Arial" w:cs="Arial"/>
          <w:i/>
          <w:sz w:val="21"/>
          <w:szCs w:val="21"/>
        </w:rPr>
      </w:pPr>
      <w:r>
        <w:rPr>
          <w:rFonts w:ascii="Arial" w:hAnsi="Arial" w:cs="Arial"/>
          <w:sz w:val="21"/>
          <w:szCs w:val="21"/>
        </w:rPr>
        <w:t>5.2.2  L</w:t>
      </w:r>
      <w:r w:rsidR="00572E22">
        <w:rPr>
          <w:rFonts w:ascii="Arial" w:hAnsi="Arial" w:cs="Arial"/>
          <w:sz w:val="21"/>
          <w:szCs w:val="21"/>
        </w:rPr>
        <w:t>E</w:t>
      </w:r>
      <w:r>
        <w:rPr>
          <w:rFonts w:ascii="Arial" w:hAnsi="Arial" w:cs="Arial"/>
          <w:sz w:val="21"/>
          <w:szCs w:val="21"/>
        </w:rPr>
        <w:t xml:space="preserve"> GESTION</w:t>
      </w:r>
      <w:r w:rsidR="00572E22">
        <w:rPr>
          <w:rFonts w:ascii="Arial" w:hAnsi="Arial" w:cs="Arial"/>
          <w:sz w:val="21"/>
          <w:szCs w:val="21"/>
        </w:rPr>
        <w:t>I</w:t>
      </w:r>
      <w:r>
        <w:rPr>
          <w:rFonts w:ascii="Arial" w:hAnsi="Arial" w:cs="Arial"/>
          <w:sz w:val="21"/>
          <w:szCs w:val="21"/>
        </w:rPr>
        <w:t xml:space="preserve"> ASSOCIAT</w:t>
      </w:r>
      <w:r w:rsidR="00572E22">
        <w:rPr>
          <w:rFonts w:ascii="Arial" w:hAnsi="Arial" w:cs="Arial"/>
          <w:sz w:val="21"/>
          <w:szCs w:val="21"/>
        </w:rPr>
        <w:t>E</w:t>
      </w:r>
      <w:r>
        <w:rPr>
          <w:rFonts w:ascii="Arial" w:hAnsi="Arial" w:cs="Arial"/>
          <w:sz w:val="21"/>
          <w:szCs w:val="21"/>
        </w:rPr>
        <w:t xml:space="preserve"> </w:t>
      </w:r>
    </w:p>
    <w:p w:rsidR="00582DE2" w:rsidRDefault="00582DE2" w:rsidP="00582DE2">
      <w:pPr>
        <w:pStyle w:val="Standard"/>
        <w:spacing w:before="100" w:after="0" w:line="240" w:lineRule="auto"/>
        <w:jc w:val="both"/>
        <w:rPr>
          <w:rFonts w:ascii="Arial" w:eastAsia="Calibri" w:hAnsi="Arial" w:cs="Arial"/>
          <w:sz w:val="21"/>
          <w:szCs w:val="21"/>
          <w:lang w:eastAsia="en-US"/>
        </w:rPr>
      </w:pPr>
      <w:r>
        <w:rPr>
          <w:rFonts w:ascii="Arial" w:eastAsia="Calibri" w:hAnsi="Arial" w:cs="Arial"/>
          <w:sz w:val="21"/>
          <w:szCs w:val="21"/>
          <w:lang w:eastAsia="en-US"/>
        </w:rPr>
        <w:t xml:space="preserve">Le norme del Codice degli Enti Locali della Regione Autonoma Trentino Alto Adige approvato con Legge Regionale 3 maggio 2018, n. 2 e ss.mm.  prevedono, per l’esercizio di tutte le funzioni amministrative di interesse locale inerenti allo sviluppo culturale, sociale ed economico della popolazione che i comuni </w:t>
      </w:r>
      <w:r>
        <w:rPr>
          <w:rFonts w:ascii="Arial" w:eastAsia="Calibri" w:hAnsi="Arial" w:cs="Arial"/>
          <w:sz w:val="21"/>
          <w:szCs w:val="21"/>
          <w:lang w:eastAsia="en-US"/>
        </w:rPr>
        <w:lastRenderedPageBreak/>
        <w:t>possano adottare forme associative e forme collaborative comunali al fine di svolgere le proprie funzioni in modo ottimale e coordinato o di effettuare interventi di reciproco interesse.</w:t>
      </w:r>
    </w:p>
    <w:p w:rsidR="00582DE2" w:rsidRDefault="00582DE2" w:rsidP="00582DE2">
      <w:pPr>
        <w:pStyle w:val="Standard"/>
        <w:spacing w:before="100" w:after="0" w:line="240" w:lineRule="auto"/>
        <w:jc w:val="both"/>
        <w:rPr>
          <w:rFonts w:ascii="Arial" w:eastAsia="Calibri" w:hAnsi="Arial" w:cs="Arial"/>
          <w:sz w:val="21"/>
          <w:szCs w:val="21"/>
          <w:lang w:eastAsia="en-US"/>
        </w:rPr>
      </w:pPr>
      <w:r>
        <w:rPr>
          <w:rFonts w:ascii="Arial" w:eastAsia="Calibri" w:hAnsi="Arial" w:cs="Arial"/>
          <w:sz w:val="21"/>
          <w:szCs w:val="21"/>
          <w:lang w:eastAsia="en-US"/>
        </w:rPr>
        <w:t>In particolare, l’art. 35 del citato Codice prescrive che dette forme collaborative possano svolgersi attraverso la stipulazione di apposite convenzioni regolatrici dei fini, della durata, delle forme di consultazione degli enti, dei loro rapporti finanziari e dei reciproci obblighi e garanzie.</w:t>
      </w:r>
    </w:p>
    <w:p w:rsidR="00582DE2" w:rsidRDefault="00582DE2" w:rsidP="00582DE2">
      <w:pPr>
        <w:pStyle w:val="Standard"/>
        <w:spacing w:before="100" w:after="0" w:line="240" w:lineRule="auto"/>
        <w:jc w:val="both"/>
      </w:pPr>
      <w:r>
        <w:rPr>
          <w:rFonts w:ascii="Arial" w:hAnsi="Arial" w:cs="Arial"/>
          <w:sz w:val="21"/>
          <w:szCs w:val="21"/>
        </w:rPr>
        <w:t>I Comuni di Telve, Telve di Sopra, Carzano e Castelnuovo ritengono, anche prescindendo dalle Gestioni associate obbligatorie, opportuno e conveniente proseguire la positiva collaborazione fin qui instaurata, per la gestione dei servizi, avvalendosi delle risorse umane e strumentali già acquisite e fruendo ulteriormente di un assetto organizzativo ormai collaudato; con la conseguente ripartizione dei costi, ciò al fine di efficientare e ottimizzare i servizi ai cittadini;</w:t>
      </w:r>
    </w:p>
    <w:p w:rsidR="00F26ACE" w:rsidRPr="00F26ACE" w:rsidRDefault="00F26ACE" w:rsidP="00F26ACE">
      <w:pPr>
        <w:pStyle w:val="Standard"/>
        <w:spacing w:before="100"/>
        <w:jc w:val="both"/>
        <w:rPr>
          <w:rFonts w:ascii="Arial" w:hAnsi="Arial" w:cs="Arial"/>
          <w:sz w:val="21"/>
          <w:szCs w:val="21"/>
        </w:rPr>
      </w:pPr>
      <w:bookmarkStart w:id="15" w:name="_Hlk28942490"/>
      <w:r w:rsidRPr="00D213A6">
        <w:rPr>
          <w:rFonts w:ascii="Arial" w:hAnsi="Arial" w:cs="Arial"/>
          <w:sz w:val="21"/>
          <w:szCs w:val="21"/>
        </w:rPr>
        <w:t>Il servizio reso dal Segretario comunale è attualmente gestito in forma associata tra i Co</w:t>
      </w:r>
      <w:r w:rsidR="00D213A6" w:rsidRPr="00D213A6">
        <w:rPr>
          <w:rFonts w:ascii="Arial" w:hAnsi="Arial" w:cs="Arial"/>
          <w:sz w:val="21"/>
          <w:szCs w:val="21"/>
        </w:rPr>
        <w:t>muni di Telve e Telve di Sopra.</w:t>
      </w:r>
    </w:p>
    <w:p w:rsidR="00F26ACE" w:rsidRPr="00D213A6" w:rsidRDefault="00F26ACE" w:rsidP="00F26ACE">
      <w:pPr>
        <w:pStyle w:val="Standard"/>
        <w:spacing w:before="100"/>
        <w:jc w:val="both"/>
        <w:rPr>
          <w:rFonts w:ascii="Arial" w:hAnsi="Arial" w:cs="Arial"/>
          <w:sz w:val="21"/>
          <w:szCs w:val="21"/>
        </w:rPr>
      </w:pPr>
      <w:r w:rsidRPr="00D213A6">
        <w:rPr>
          <w:rFonts w:ascii="Arial" w:hAnsi="Arial" w:cs="Arial"/>
          <w:sz w:val="21"/>
          <w:szCs w:val="21"/>
        </w:rPr>
        <w:t>I servizi attualmente gestiti in forma associata tra i Comuni di Telve, Telve di Sopra, Carzano e Castelnuovo sono il Servizio Finanziario, il Servizio Tecnico e il Servizio Tributi.</w:t>
      </w:r>
    </w:p>
    <w:bookmarkEnd w:id="15"/>
    <w:p w:rsidR="00582DE2" w:rsidRPr="00D213A6" w:rsidRDefault="00582DE2" w:rsidP="00582DE2">
      <w:pPr>
        <w:spacing w:before="100"/>
        <w:jc w:val="both"/>
        <w:rPr>
          <w:rFonts w:ascii="Arial" w:hAnsi="Arial" w:cs="Arial"/>
          <w:sz w:val="21"/>
          <w:szCs w:val="21"/>
        </w:rPr>
      </w:pPr>
      <w:r w:rsidRPr="00D213A6">
        <w:rPr>
          <w:rFonts w:ascii="Arial" w:hAnsi="Arial" w:cs="Arial"/>
          <w:sz w:val="21"/>
          <w:szCs w:val="21"/>
        </w:rPr>
        <w:t xml:space="preserve">Il personale, di ruolo e non di ruolo, addetto ai servizi della gestione associata, è messo a disposizione della gestione associata medesima per l'intera durata della convenzione. </w:t>
      </w:r>
    </w:p>
    <w:p w:rsidR="00582DE2" w:rsidRPr="00080553" w:rsidRDefault="00582DE2" w:rsidP="00582DE2">
      <w:pPr>
        <w:spacing w:before="100"/>
        <w:jc w:val="both"/>
        <w:rPr>
          <w:rFonts w:ascii="Arial" w:hAnsi="Arial" w:cs="Arial"/>
          <w:b/>
          <w:bCs/>
          <w:sz w:val="21"/>
          <w:szCs w:val="21"/>
        </w:rPr>
      </w:pPr>
      <w:r w:rsidRPr="00D213A6">
        <w:rPr>
          <w:rFonts w:ascii="Arial" w:hAnsi="Arial" w:cs="Arial"/>
          <w:b/>
          <w:bCs/>
          <w:sz w:val="21"/>
          <w:szCs w:val="21"/>
        </w:rPr>
        <w:t>Il Comune di Telve, in quanto capofila della gestione associata, ricomprende nel presente piano i processi, i rischi e le azioni relativi all’intero processo relativi ai servizi resi in forma associata, anche reso a favore di comuni limitrofi.</w:t>
      </w:r>
    </w:p>
    <w:p w:rsidR="0022777B" w:rsidRDefault="0022777B" w:rsidP="0022777B">
      <w:pPr>
        <w:pStyle w:val="Standarduser"/>
        <w:spacing w:before="100" w:after="0" w:line="240" w:lineRule="auto"/>
        <w:jc w:val="both"/>
      </w:pPr>
      <w:r>
        <w:rPr>
          <w:rFonts w:ascii="Arial" w:hAnsi="Arial" w:cs="Arial"/>
          <w:sz w:val="21"/>
          <w:szCs w:val="21"/>
        </w:rPr>
        <w:t>Si rileva che per i servizi gestiti in forma associata, i Comuni di Telve, Telve di Sopra,  intendono – per quanto possibile – adottare i medesimi processi, procedure e azioni relativi all’intero processo, ciò in vista sia di una semplificazione procedurale al fine di consentire un controllo più omogeneo ed efficace   e sia in ragione del contesto esterno e interno che caratterizza in maniera pressoché analoga i due Enti</w:t>
      </w:r>
    </w:p>
    <w:p w:rsidR="00582DE2" w:rsidRPr="00F0267E" w:rsidRDefault="00582DE2" w:rsidP="00F0267E">
      <w:pPr>
        <w:pStyle w:val="Standard"/>
        <w:spacing w:before="100" w:after="0" w:line="240" w:lineRule="auto"/>
        <w:jc w:val="both"/>
        <w:rPr>
          <w:rFonts w:ascii="Arial" w:hAnsi="Arial" w:cs="Arial"/>
          <w:sz w:val="21"/>
          <w:szCs w:val="21"/>
        </w:rPr>
      </w:pPr>
      <w:r w:rsidRPr="00F0267E">
        <w:rPr>
          <w:rFonts w:ascii="Arial" w:hAnsi="Arial" w:cs="Arial"/>
          <w:sz w:val="21"/>
          <w:szCs w:val="21"/>
        </w:rPr>
        <w:t>Da ultimo si evidenzia che la stessa ANAC a partire già con il PNA 2016 ha previsto misure di semplificazione rivolte ai piccoli comuni (enti con popolazione inferiore a 15.000 abitanti oltre a misure specifiche per enti con popolazione inferiore a 5.000 abitanti). Nello specifico l’Autorità ha fornito indicazioni volte a favorire il coordinamento tra Enti che può riguardare iniziative per la formazione in materia di anticorruzione e l’elaborazione di documenti condivisi per la predisposizione dei rispettivi PTPC e, in particolare, per l’analisi del contesto esterno, per il processo di individuazione delle aree a rischio e dei criteri di valutazione delle stesse.</w:t>
      </w:r>
    </w:p>
    <w:p w:rsidR="00582DE2" w:rsidRDefault="00582DE2" w:rsidP="00582DE2">
      <w:pPr>
        <w:spacing w:before="100"/>
        <w:jc w:val="both"/>
        <w:rPr>
          <w:rFonts w:ascii="Arial" w:hAnsi="Arial" w:cs="Arial"/>
          <w:sz w:val="21"/>
          <w:szCs w:val="21"/>
        </w:rPr>
      </w:pPr>
    </w:p>
    <w:p w:rsidR="00582DE2" w:rsidRDefault="0075108B" w:rsidP="00582DE2">
      <w:pPr>
        <w:spacing w:before="100"/>
        <w:jc w:val="both"/>
        <w:rPr>
          <w:rFonts w:ascii="Arial" w:hAnsi="Arial" w:cs="Arial"/>
          <w:b/>
          <w:bCs/>
          <w:sz w:val="21"/>
          <w:szCs w:val="21"/>
        </w:rPr>
      </w:pPr>
      <w:r>
        <w:rPr>
          <w:rFonts w:ascii="Arial" w:hAnsi="Arial" w:cs="Arial"/>
          <w:b/>
          <w:bCs/>
          <w:sz w:val="21"/>
          <w:szCs w:val="21"/>
        </w:rPr>
        <w:t>5.2.3</w:t>
      </w:r>
      <w:r w:rsidR="00582DE2">
        <w:rPr>
          <w:rFonts w:ascii="Arial" w:hAnsi="Arial" w:cs="Arial"/>
          <w:b/>
          <w:bCs/>
          <w:sz w:val="21"/>
          <w:szCs w:val="21"/>
        </w:rPr>
        <w:t xml:space="preserve">. LA MAPPATURA DEI PROCESSI </w:t>
      </w:r>
    </w:p>
    <w:p w:rsidR="00582DE2" w:rsidRDefault="00582DE2" w:rsidP="00582DE2">
      <w:pPr>
        <w:spacing w:before="100"/>
        <w:jc w:val="both"/>
        <w:rPr>
          <w:rFonts w:ascii="Arial" w:hAnsi="Arial" w:cs="Arial"/>
          <w:sz w:val="21"/>
          <w:szCs w:val="21"/>
        </w:rPr>
      </w:pPr>
      <w:r>
        <w:rPr>
          <w:rFonts w:ascii="Arial" w:hAnsi="Arial" w:cs="Arial"/>
          <w:sz w:val="21"/>
          <w:szCs w:val="21"/>
        </w:rPr>
        <w:t>L’aspetto più importante dell’analisi del contesto interno, oltre alla rilevazione dei dati generali relativi alla struttura e alla dimensione organizzativa, è la mappatura dei processi, con la quale si intende l’individuazione e l’analisi dei processi organizzativi svolti all’interno dell’Ente con l’obiettivo che l’intera attività svolta dall’amministrazione venga gradualmente esaminata al fine di identificare aree che, in ragione della natura e delle peculiarità dell’attività stessa, risultino potenzialmente esposte a rischi corruttivi.</w:t>
      </w:r>
    </w:p>
    <w:p w:rsidR="00582DE2" w:rsidRDefault="00582DE2" w:rsidP="00582DE2">
      <w:pPr>
        <w:spacing w:before="100"/>
        <w:jc w:val="both"/>
        <w:rPr>
          <w:rFonts w:ascii="Arial" w:hAnsi="Arial" w:cs="Arial"/>
          <w:sz w:val="21"/>
          <w:szCs w:val="21"/>
        </w:rPr>
      </w:pPr>
      <w:r>
        <w:rPr>
          <w:rFonts w:ascii="Arial" w:hAnsi="Arial" w:cs="Arial"/>
          <w:sz w:val="21"/>
          <w:szCs w:val="21"/>
        </w:rPr>
        <w:t>Secondo il PNA, un processo può essere definito come una sequenza di attività interrelate ed interagenti che trasformano delle risorse in un output destinato ad un soggetto interno o esterno all'amministrazione (utente).</w:t>
      </w:r>
    </w:p>
    <w:p w:rsidR="00582DE2" w:rsidRDefault="00582DE2" w:rsidP="00582DE2">
      <w:pPr>
        <w:spacing w:before="100"/>
        <w:jc w:val="both"/>
        <w:rPr>
          <w:rFonts w:ascii="Arial" w:hAnsi="Arial" w:cs="Arial"/>
          <w:sz w:val="21"/>
          <w:szCs w:val="21"/>
        </w:rPr>
      </w:pPr>
      <w:r>
        <w:rPr>
          <w:rFonts w:ascii="Arial" w:hAnsi="Arial" w:cs="Arial"/>
          <w:sz w:val="21"/>
          <w:szCs w:val="21"/>
        </w:rPr>
        <w:t>Secondo gli indirizzi del PNA, i processi sono stati aggregati nell’“area di rischio generale” e nell’”area di rischio specifico.</w:t>
      </w:r>
    </w:p>
    <w:p w:rsidR="00582DE2" w:rsidRDefault="00582DE2" w:rsidP="00582DE2">
      <w:pPr>
        <w:spacing w:before="100"/>
        <w:jc w:val="both"/>
        <w:rPr>
          <w:rFonts w:ascii="Arial" w:hAnsi="Arial" w:cs="Arial"/>
          <w:sz w:val="21"/>
          <w:szCs w:val="21"/>
        </w:rPr>
      </w:pPr>
    </w:p>
    <w:p w:rsidR="00582DE2" w:rsidRDefault="00582DE2" w:rsidP="00582DE2">
      <w:pPr>
        <w:spacing w:before="100"/>
        <w:jc w:val="both"/>
        <w:rPr>
          <w:rFonts w:ascii="Arial" w:hAnsi="Arial" w:cs="Arial"/>
          <w:sz w:val="21"/>
          <w:szCs w:val="21"/>
        </w:rPr>
      </w:pPr>
      <w:r>
        <w:rPr>
          <w:rFonts w:ascii="Arial" w:hAnsi="Arial" w:cs="Arial"/>
          <w:sz w:val="21"/>
          <w:szCs w:val="21"/>
        </w:rPr>
        <w:t>AREA DI RISCHIO GENERALE:</w:t>
      </w:r>
    </w:p>
    <w:p w:rsidR="00582DE2" w:rsidRDefault="00582DE2" w:rsidP="00582DE2">
      <w:pPr>
        <w:pStyle w:val="Paragrafoelenco"/>
        <w:numPr>
          <w:ilvl w:val="0"/>
          <w:numId w:val="34"/>
        </w:numPr>
        <w:spacing w:before="100" w:after="120"/>
        <w:ind w:left="714" w:hanging="357"/>
        <w:jc w:val="both"/>
        <w:rPr>
          <w:rFonts w:ascii="Arial" w:hAnsi="Arial" w:cs="Arial"/>
          <w:sz w:val="21"/>
          <w:szCs w:val="21"/>
        </w:rPr>
      </w:pPr>
      <w:r>
        <w:rPr>
          <w:rFonts w:ascii="Arial" w:hAnsi="Arial" w:cs="Arial"/>
          <w:sz w:val="21"/>
          <w:szCs w:val="21"/>
        </w:rPr>
        <w:t>provvedimenti ampliativi della sfera giuridica dei destinatari privi di effetto economico diretto e immediato;</w:t>
      </w:r>
    </w:p>
    <w:p w:rsidR="00582DE2" w:rsidRDefault="00582DE2" w:rsidP="00582DE2">
      <w:pPr>
        <w:pStyle w:val="Paragrafoelenco"/>
        <w:numPr>
          <w:ilvl w:val="0"/>
          <w:numId w:val="34"/>
        </w:numPr>
        <w:spacing w:before="100" w:after="120"/>
        <w:ind w:left="714" w:hanging="357"/>
        <w:jc w:val="both"/>
        <w:rPr>
          <w:rFonts w:ascii="Arial" w:hAnsi="Arial" w:cs="Arial"/>
          <w:sz w:val="21"/>
          <w:szCs w:val="21"/>
        </w:rPr>
      </w:pPr>
      <w:r>
        <w:rPr>
          <w:rFonts w:ascii="Arial" w:hAnsi="Arial" w:cs="Arial"/>
          <w:sz w:val="21"/>
          <w:szCs w:val="21"/>
        </w:rPr>
        <w:lastRenderedPageBreak/>
        <w:t>provvedimenti ampliativi della sfera giuridica dei destinatari con effetto economico diretto e immediato;</w:t>
      </w:r>
    </w:p>
    <w:p w:rsidR="00582DE2" w:rsidRDefault="00582DE2" w:rsidP="00582DE2">
      <w:pPr>
        <w:pStyle w:val="Paragrafoelenco"/>
        <w:numPr>
          <w:ilvl w:val="0"/>
          <w:numId w:val="34"/>
        </w:numPr>
        <w:spacing w:before="100" w:after="120"/>
        <w:ind w:left="714" w:hanging="357"/>
        <w:jc w:val="both"/>
        <w:rPr>
          <w:rFonts w:ascii="Arial" w:hAnsi="Arial" w:cs="Arial"/>
          <w:sz w:val="21"/>
          <w:szCs w:val="21"/>
        </w:rPr>
      </w:pPr>
      <w:r>
        <w:rPr>
          <w:rFonts w:ascii="Arial" w:hAnsi="Arial" w:cs="Arial"/>
          <w:sz w:val="21"/>
          <w:szCs w:val="21"/>
        </w:rPr>
        <w:t>contratti pubblici;</w:t>
      </w:r>
    </w:p>
    <w:p w:rsidR="00582DE2" w:rsidRDefault="00582DE2" w:rsidP="00582DE2">
      <w:pPr>
        <w:pStyle w:val="Paragrafoelenco"/>
        <w:numPr>
          <w:ilvl w:val="0"/>
          <w:numId w:val="34"/>
        </w:numPr>
        <w:spacing w:before="100" w:after="120"/>
        <w:ind w:left="714" w:hanging="357"/>
        <w:jc w:val="both"/>
        <w:rPr>
          <w:rFonts w:ascii="Arial" w:hAnsi="Arial" w:cs="Arial"/>
          <w:sz w:val="21"/>
          <w:szCs w:val="21"/>
        </w:rPr>
      </w:pPr>
      <w:r>
        <w:rPr>
          <w:rFonts w:ascii="Arial" w:hAnsi="Arial" w:cs="Arial"/>
          <w:sz w:val="21"/>
          <w:szCs w:val="21"/>
        </w:rPr>
        <w:t>acquisizione e gestione del personale;</w:t>
      </w:r>
    </w:p>
    <w:p w:rsidR="00582DE2" w:rsidRDefault="00582DE2" w:rsidP="00582DE2">
      <w:pPr>
        <w:pStyle w:val="Paragrafoelenco"/>
        <w:numPr>
          <w:ilvl w:val="0"/>
          <w:numId w:val="34"/>
        </w:numPr>
        <w:spacing w:before="100" w:after="120"/>
        <w:ind w:left="714" w:hanging="357"/>
        <w:jc w:val="both"/>
        <w:rPr>
          <w:rFonts w:ascii="Arial" w:hAnsi="Arial" w:cs="Arial"/>
          <w:sz w:val="21"/>
          <w:szCs w:val="21"/>
        </w:rPr>
      </w:pPr>
      <w:r>
        <w:rPr>
          <w:rFonts w:ascii="Arial" w:hAnsi="Arial" w:cs="Arial"/>
          <w:sz w:val="21"/>
          <w:szCs w:val="21"/>
        </w:rPr>
        <w:t>gestione delle entrate, delle spese e del patrimonio;</w:t>
      </w:r>
    </w:p>
    <w:p w:rsidR="00582DE2" w:rsidRDefault="00582DE2" w:rsidP="00582DE2">
      <w:pPr>
        <w:pStyle w:val="Paragrafoelenco"/>
        <w:numPr>
          <w:ilvl w:val="0"/>
          <w:numId w:val="34"/>
        </w:numPr>
        <w:spacing w:before="100" w:after="120"/>
        <w:ind w:left="714" w:hanging="357"/>
        <w:jc w:val="both"/>
        <w:rPr>
          <w:rFonts w:ascii="Arial" w:hAnsi="Arial" w:cs="Arial"/>
          <w:sz w:val="21"/>
          <w:szCs w:val="21"/>
        </w:rPr>
      </w:pPr>
      <w:r>
        <w:rPr>
          <w:rFonts w:ascii="Arial" w:hAnsi="Arial" w:cs="Arial"/>
          <w:sz w:val="21"/>
          <w:szCs w:val="21"/>
        </w:rPr>
        <w:t>controlli, verifiche, ispezioni e sanzioni;</w:t>
      </w:r>
    </w:p>
    <w:p w:rsidR="00582DE2" w:rsidRDefault="00582DE2" w:rsidP="00582DE2">
      <w:pPr>
        <w:pStyle w:val="Paragrafoelenco"/>
        <w:numPr>
          <w:ilvl w:val="0"/>
          <w:numId w:val="34"/>
        </w:numPr>
        <w:spacing w:before="100" w:after="120"/>
        <w:ind w:left="714" w:hanging="357"/>
        <w:jc w:val="both"/>
        <w:rPr>
          <w:rFonts w:ascii="Arial" w:hAnsi="Arial" w:cs="Arial"/>
          <w:sz w:val="21"/>
          <w:szCs w:val="21"/>
        </w:rPr>
      </w:pPr>
      <w:r>
        <w:rPr>
          <w:rFonts w:ascii="Arial" w:hAnsi="Arial" w:cs="Arial"/>
          <w:sz w:val="21"/>
          <w:szCs w:val="21"/>
        </w:rPr>
        <w:t>incarichi e nomine;</w:t>
      </w:r>
    </w:p>
    <w:p w:rsidR="00582DE2" w:rsidRDefault="00582DE2" w:rsidP="00582DE2">
      <w:pPr>
        <w:pStyle w:val="Paragrafoelenco"/>
        <w:numPr>
          <w:ilvl w:val="0"/>
          <w:numId w:val="34"/>
        </w:numPr>
        <w:spacing w:before="100" w:after="120"/>
        <w:ind w:left="714" w:hanging="357"/>
        <w:jc w:val="both"/>
        <w:rPr>
          <w:rFonts w:ascii="Arial" w:hAnsi="Arial" w:cs="Arial"/>
          <w:sz w:val="21"/>
          <w:szCs w:val="21"/>
        </w:rPr>
      </w:pPr>
      <w:r>
        <w:rPr>
          <w:rFonts w:ascii="Arial" w:hAnsi="Arial" w:cs="Arial"/>
          <w:sz w:val="21"/>
          <w:szCs w:val="21"/>
        </w:rPr>
        <w:t>affari legali e contenzioso.</w:t>
      </w:r>
    </w:p>
    <w:p w:rsidR="00582DE2" w:rsidRDefault="00582DE2" w:rsidP="00582DE2">
      <w:pPr>
        <w:spacing w:before="100" w:after="120"/>
        <w:ind w:left="357"/>
        <w:rPr>
          <w:rFonts w:ascii="Arial" w:hAnsi="Arial" w:cs="Arial"/>
          <w:sz w:val="21"/>
          <w:szCs w:val="21"/>
        </w:rPr>
      </w:pPr>
    </w:p>
    <w:p w:rsidR="00582DE2" w:rsidRDefault="00582DE2" w:rsidP="00582DE2">
      <w:pPr>
        <w:spacing w:before="100" w:after="120"/>
        <w:jc w:val="both"/>
        <w:rPr>
          <w:rFonts w:ascii="Arial" w:hAnsi="Arial" w:cs="Arial"/>
          <w:sz w:val="21"/>
          <w:szCs w:val="21"/>
        </w:rPr>
      </w:pPr>
      <w:r>
        <w:rPr>
          <w:rFonts w:ascii="Arial" w:hAnsi="Arial" w:cs="Arial"/>
          <w:sz w:val="21"/>
          <w:szCs w:val="21"/>
        </w:rPr>
        <w:t>AREA DI RISCHIO SPECIFICO</w:t>
      </w:r>
    </w:p>
    <w:p w:rsidR="00582DE2" w:rsidRDefault="00582DE2" w:rsidP="00582DE2">
      <w:pPr>
        <w:pStyle w:val="Paragrafoelenco"/>
        <w:numPr>
          <w:ilvl w:val="0"/>
          <w:numId w:val="35"/>
        </w:numPr>
        <w:spacing w:before="100" w:after="120"/>
        <w:jc w:val="both"/>
        <w:rPr>
          <w:rFonts w:ascii="Arial" w:hAnsi="Arial" w:cs="Arial"/>
          <w:sz w:val="21"/>
          <w:szCs w:val="21"/>
        </w:rPr>
      </w:pPr>
      <w:r>
        <w:rPr>
          <w:rFonts w:ascii="Arial" w:hAnsi="Arial" w:cs="Arial"/>
          <w:sz w:val="21"/>
          <w:szCs w:val="21"/>
        </w:rPr>
        <w:t>governo del territorio</w:t>
      </w:r>
    </w:p>
    <w:p w:rsidR="00582DE2" w:rsidRDefault="00582DE2" w:rsidP="00582DE2">
      <w:pPr>
        <w:spacing w:before="100"/>
        <w:jc w:val="both"/>
        <w:rPr>
          <w:rFonts w:ascii="Arial" w:hAnsi="Arial" w:cs="Arial"/>
          <w:sz w:val="21"/>
          <w:szCs w:val="21"/>
        </w:rPr>
      </w:pPr>
    </w:p>
    <w:p w:rsidR="00582DE2" w:rsidRDefault="00582DE2" w:rsidP="00582DE2">
      <w:pPr>
        <w:spacing w:before="100"/>
        <w:jc w:val="both"/>
        <w:rPr>
          <w:rFonts w:ascii="Arial" w:hAnsi="Arial" w:cs="Arial"/>
          <w:sz w:val="21"/>
          <w:szCs w:val="21"/>
        </w:rPr>
      </w:pPr>
      <w:r>
        <w:rPr>
          <w:rFonts w:ascii="Arial" w:hAnsi="Arial" w:cs="Arial"/>
          <w:sz w:val="21"/>
          <w:szCs w:val="21"/>
        </w:rPr>
        <w:t>Oltre, alle “Aree di rischio” proposte dal PNA, il presente prevede un’ulteriore area definita “Altri servizi”. In tale sottoinsieme sono ordinati processi tipici degli enti territoriali, in genere privi di rilevanza economica e difficilmente riconducibili ad una delle aree proposte dal PNA.</w:t>
      </w:r>
    </w:p>
    <w:p w:rsidR="00582DE2" w:rsidRDefault="00582DE2" w:rsidP="00582DE2">
      <w:pPr>
        <w:spacing w:before="100"/>
        <w:jc w:val="both"/>
        <w:rPr>
          <w:rFonts w:ascii="Arial" w:hAnsi="Arial" w:cs="Arial"/>
          <w:sz w:val="21"/>
          <w:szCs w:val="21"/>
        </w:rPr>
      </w:pPr>
    </w:p>
    <w:p w:rsidR="00582DE2" w:rsidRDefault="00582DE2" w:rsidP="00582DE2">
      <w:pPr>
        <w:spacing w:before="100"/>
        <w:jc w:val="both"/>
        <w:rPr>
          <w:rFonts w:ascii="Arial" w:hAnsi="Arial" w:cs="Arial"/>
          <w:sz w:val="21"/>
          <w:szCs w:val="21"/>
        </w:rPr>
      </w:pPr>
      <w:r>
        <w:rPr>
          <w:rFonts w:ascii="Arial" w:hAnsi="Arial" w:cs="Arial"/>
          <w:sz w:val="21"/>
          <w:szCs w:val="21"/>
        </w:rPr>
        <w:t>L’allegato 1 al PNA 2019 prevede che la mappatura dei processi si articoli nelle seguenti fasi:</w:t>
      </w:r>
    </w:p>
    <w:p w:rsidR="00582DE2" w:rsidRDefault="00582DE2" w:rsidP="00582DE2">
      <w:pPr>
        <w:pStyle w:val="Paragrafoelenco"/>
        <w:numPr>
          <w:ilvl w:val="0"/>
          <w:numId w:val="36"/>
        </w:numPr>
        <w:spacing w:before="100"/>
        <w:jc w:val="both"/>
      </w:pPr>
      <w:r>
        <w:rPr>
          <w:rFonts w:ascii="Arial" w:hAnsi="Arial" w:cs="Arial"/>
          <w:b/>
          <w:bCs/>
          <w:sz w:val="21"/>
          <w:szCs w:val="21"/>
        </w:rPr>
        <w:t xml:space="preserve">identificazione dei processi, </w:t>
      </w:r>
      <w:r>
        <w:rPr>
          <w:rFonts w:ascii="Arial" w:hAnsi="Arial" w:cs="Arial"/>
          <w:sz w:val="21"/>
          <w:szCs w:val="21"/>
        </w:rPr>
        <w:t>consistente nell’elencazione completa dei processi svolti dall’amministrazione;</w:t>
      </w:r>
    </w:p>
    <w:p w:rsidR="00582DE2" w:rsidRDefault="00582DE2" w:rsidP="00582DE2">
      <w:pPr>
        <w:pStyle w:val="Paragrafoelenco"/>
        <w:numPr>
          <w:ilvl w:val="0"/>
          <w:numId w:val="36"/>
        </w:numPr>
        <w:spacing w:before="100"/>
        <w:jc w:val="both"/>
      </w:pPr>
      <w:r>
        <w:rPr>
          <w:rFonts w:ascii="Arial" w:hAnsi="Arial" w:cs="Arial"/>
          <w:b/>
          <w:bCs/>
          <w:sz w:val="21"/>
          <w:szCs w:val="21"/>
        </w:rPr>
        <w:t xml:space="preserve">descrizione del processo, </w:t>
      </w:r>
      <w:r>
        <w:rPr>
          <w:rFonts w:ascii="Arial" w:hAnsi="Arial" w:cs="Arial"/>
          <w:sz w:val="21"/>
          <w:szCs w:val="21"/>
        </w:rPr>
        <w:t>consistente principalmente nella descrizione delle attività che scandiscono e compongono il processo, dei soggetti che svolgono le attività e nell’individuazione della responsabilità complessiva del processo;</w:t>
      </w:r>
    </w:p>
    <w:p w:rsidR="00582DE2" w:rsidRPr="009C5FEC" w:rsidRDefault="00582DE2" w:rsidP="00582DE2">
      <w:pPr>
        <w:pStyle w:val="Paragrafoelenco"/>
        <w:numPr>
          <w:ilvl w:val="0"/>
          <w:numId w:val="36"/>
        </w:numPr>
        <w:spacing w:before="100"/>
        <w:jc w:val="both"/>
      </w:pPr>
      <w:r>
        <w:rPr>
          <w:rFonts w:ascii="Arial" w:hAnsi="Arial" w:cs="Arial"/>
          <w:b/>
          <w:bCs/>
          <w:sz w:val="21"/>
          <w:szCs w:val="21"/>
        </w:rPr>
        <w:t xml:space="preserve">rappresentazione, </w:t>
      </w:r>
      <w:r>
        <w:rPr>
          <w:rFonts w:ascii="Arial" w:hAnsi="Arial" w:cs="Arial"/>
          <w:sz w:val="21"/>
          <w:szCs w:val="21"/>
        </w:rPr>
        <w:t xml:space="preserve">consistente nella rappresentazione grafica o tabellare degli elementi descrittivi del </w:t>
      </w:r>
      <w:r w:rsidRPr="009C5FEC">
        <w:rPr>
          <w:rFonts w:ascii="Arial" w:hAnsi="Arial" w:cs="Arial"/>
          <w:sz w:val="21"/>
          <w:szCs w:val="21"/>
        </w:rPr>
        <w:t>processo illustrati nella fase precedente.</w:t>
      </w:r>
    </w:p>
    <w:p w:rsidR="00582DE2" w:rsidRDefault="00582DE2" w:rsidP="00582DE2">
      <w:pPr>
        <w:spacing w:before="100"/>
        <w:jc w:val="both"/>
      </w:pPr>
      <w:r w:rsidRPr="009C5FEC">
        <w:rPr>
          <w:rFonts w:ascii="Arial" w:hAnsi="Arial" w:cs="Arial"/>
          <w:sz w:val="21"/>
          <w:szCs w:val="21"/>
        </w:rPr>
        <w:t xml:space="preserve">Nella fase di </w:t>
      </w:r>
      <w:r w:rsidRPr="009C5FEC">
        <w:rPr>
          <w:rFonts w:ascii="Arial" w:hAnsi="Arial" w:cs="Arial"/>
          <w:b/>
          <w:bCs/>
          <w:sz w:val="21"/>
          <w:szCs w:val="21"/>
        </w:rPr>
        <w:t xml:space="preserve">identificazione </w:t>
      </w:r>
      <w:r w:rsidRPr="009C5FEC">
        <w:rPr>
          <w:rFonts w:ascii="Arial" w:hAnsi="Arial" w:cs="Arial"/>
          <w:kern w:val="3"/>
          <w:sz w:val="21"/>
          <w:szCs w:val="21"/>
          <w:lang w:eastAsia="zh-CN"/>
        </w:rPr>
        <w:t xml:space="preserve">(Allegato </w:t>
      </w:r>
      <w:r w:rsidR="00941CC6" w:rsidRPr="009C5FEC">
        <w:rPr>
          <w:rFonts w:ascii="Arial" w:hAnsi="Arial" w:cs="Arial"/>
          <w:kern w:val="3"/>
          <w:sz w:val="21"/>
          <w:szCs w:val="21"/>
          <w:lang w:eastAsia="zh-CN"/>
        </w:rPr>
        <w:t>B</w:t>
      </w:r>
      <w:r w:rsidR="009C5FEC">
        <w:rPr>
          <w:rFonts w:ascii="Arial" w:hAnsi="Arial" w:cs="Arial"/>
          <w:kern w:val="3"/>
          <w:sz w:val="21"/>
          <w:szCs w:val="21"/>
          <w:lang w:eastAsia="zh-CN"/>
        </w:rPr>
        <w:t>)</w:t>
      </w:r>
      <w:r w:rsidRPr="009C5FEC">
        <w:rPr>
          <w:rFonts w:ascii="Arial" w:hAnsi="Arial" w:cs="Arial"/>
          <w:kern w:val="3"/>
          <w:sz w:val="21"/>
          <w:szCs w:val="21"/>
          <w:lang w:eastAsia="zh-CN"/>
        </w:rPr>
        <w:t>) l’obiettivo è definire</w:t>
      </w:r>
      <w:r>
        <w:rPr>
          <w:rFonts w:ascii="Arial" w:hAnsi="Arial" w:cs="Arial"/>
          <w:sz w:val="21"/>
          <w:szCs w:val="21"/>
        </w:rPr>
        <w:t xml:space="preserve"> la lista dei processi che dovranno essere oggetto di analisi e approfondimento nella fase successiva. La mappatura è stata realizzata coinvolgendo tutti i processi riferibili all’Ente, </w:t>
      </w:r>
      <w:bookmarkStart w:id="16" w:name="_Hlk63410830"/>
      <w:r>
        <w:rPr>
          <w:rFonts w:ascii="Arial" w:hAnsi="Arial" w:cs="Arial"/>
          <w:sz w:val="21"/>
          <w:szCs w:val="21"/>
        </w:rPr>
        <w:t>ma in attuazione del principio di “gradualità” (PNA 2019), essa sarà comunque oggetto di verifiche nel corso del triennio 2021-2023 per addivenire, con certezza, all’individuazione di tutti i processi.</w:t>
      </w:r>
    </w:p>
    <w:bookmarkEnd w:id="16"/>
    <w:p w:rsidR="00582DE2" w:rsidRDefault="00582DE2" w:rsidP="00582DE2">
      <w:pPr>
        <w:spacing w:before="100"/>
        <w:jc w:val="both"/>
        <w:rPr>
          <w:rFonts w:ascii="Arial" w:hAnsi="Arial" w:cs="Arial"/>
          <w:sz w:val="21"/>
          <w:szCs w:val="21"/>
        </w:rPr>
      </w:pPr>
      <w:r>
        <w:rPr>
          <w:rFonts w:ascii="Arial" w:hAnsi="Arial" w:cs="Arial"/>
          <w:sz w:val="21"/>
          <w:szCs w:val="21"/>
        </w:rPr>
        <w:t>Il risultato atteso della prima fase della mappatura è l’identificazione dell’elenco completo dei processi dall’amministrazione. Secondo gli indirizzi del PNA, i processi identificati sono poi aggregati nelle cosiddette “aree di rischio”, intese come raggruppamenti omogenei di processi.</w:t>
      </w:r>
    </w:p>
    <w:p w:rsidR="00582DE2" w:rsidRDefault="00582DE2" w:rsidP="00582DE2">
      <w:pPr>
        <w:spacing w:before="100"/>
        <w:jc w:val="both"/>
        <w:rPr>
          <w:rFonts w:ascii="Arial" w:hAnsi="Arial" w:cs="Arial"/>
          <w:sz w:val="21"/>
          <w:szCs w:val="21"/>
        </w:rPr>
      </w:pPr>
      <w:r>
        <w:rPr>
          <w:rFonts w:ascii="Arial" w:hAnsi="Arial" w:cs="Arial"/>
          <w:sz w:val="21"/>
          <w:szCs w:val="21"/>
        </w:rPr>
        <w:t>Le aree di rischio possono essere distinte in generali e specifiche. Quelle generali sono comuni a tutte le amministrazioni (es. contratti pubblici, acquisizione e gestione del personale), mentre quelle specifiche riguardano la singola amministrazione e dipendono dalle caratteristiche peculiari delle attività da essa svolte.</w:t>
      </w:r>
    </w:p>
    <w:p w:rsidR="00582DE2" w:rsidRDefault="00582DE2" w:rsidP="00582DE2">
      <w:pPr>
        <w:spacing w:before="100"/>
        <w:jc w:val="both"/>
      </w:pPr>
      <w:r>
        <w:rPr>
          <w:rFonts w:ascii="Arial" w:hAnsi="Arial" w:cs="Arial"/>
          <w:sz w:val="21"/>
          <w:szCs w:val="21"/>
        </w:rPr>
        <w:t xml:space="preserve">La </w:t>
      </w:r>
      <w:r>
        <w:rPr>
          <w:rFonts w:ascii="Arial" w:hAnsi="Arial" w:cs="Arial"/>
          <w:b/>
          <w:bCs/>
          <w:sz w:val="21"/>
          <w:szCs w:val="21"/>
        </w:rPr>
        <w:t xml:space="preserve">descrizione del processo </w:t>
      </w:r>
      <w:r w:rsidRPr="009C5FEC">
        <w:rPr>
          <w:rFonts w:ascii="Arial" w:hAnsi="Arial" w:cs="Arial"/>
          <w:sz w:val="21"/>
          <w:szCs w:val="21"/>
        </w:rPr>
        <w:t xml:space="preserve">(Allegato </w:t>
      </w:r>
      <w:r w:rsidR="00941CC6" w:rsidRPr="009C5FEC">
        <w:rPr>
          <w:rFonts w:ascii="Arial" w:hAnsi="Arial" w:cs="Arial"/>
          <w:sz w:val="21"/>
          <w:szCs w:val="21"/>
        </w:rPr>
        <w:t>C</w:t>
      </w:r>
      <w:r w:rsidR="009C5FEC">
        <w:rPr>
          <w:rFonts w:ascii="Arial" w:hAnsi="Arial" w:cs="Arial"/>
          <w:sz w:val="21"/>
          <w:szCs w:val="21"/>
        </w:rPr>
        <w:t>)</w:t>
      </w:r>
      <w:r>
        <w:rPr>
          <w:rFonts w:ascii="Arial" w:hAnsi="Arial" w:cs="Arial"/>
          <w:sz w:val="21"/>
          <w:szCs w:val="21"/>
        </w:rPr>
        <w:t>),</w:t>
      </w:r>
      <w:r w:rsidRPr="009C5FEC">
        <w:rPr>
          <w:rFonts w:ascii="Arial" w:hAnsi="Arial" w:cs="Arial"/>
          <w:sz w:val="21"/>
          <w:szCs w:val="21"/>
        </w:rPr>
        <w:t xml:space="preserve"> </w:t>
      </w:r>
      <w:r>
        <w:rPr>
          <w:rFonts w:ascii="Arial" w:hAnsi="Arial" w:cs="Arial"/>
          <w:sz w:val="21"/>
          <w:szCs w:val="21"/>
        </w:rPr>
        <w:t>ai fini dell’attività di prevenzione della corruzione, è una fase particolarmente rilevante, in quanto consente di identificare più agevolmente le criticità del processo in funzione delle sue modalità di svolgimento al fine di inserire dei correttivi.</w:t>
      </w:r>
    </w:p>
    <w:p w:rsidR="00582DE2" w:rsidRDefault="00582DE2" w:rsidP="00582DE2">
      <w:pPr>
        <w:spacing w:before="100"/>
        <w:jc w:val="both"/>
      </w:pPr>
      <w:r>
        <w:rPr>
          <w:rFonts w:ascii="Arial" w:hAnsi="Arial" w:cs="Arial"/>
          <w:sz w:val="21"/>
          <w:szCs w:val="21"/>
        </w:rPr>
        <w:t xml:space="preserve">Ferma restando l’utilità di pervenire nell’ambito del triennio 2021/2023 ad una descrizione analitica dei processi dell’amministrazione, appare opportuno precisare che tale risultato può essere raggiunto in maniera progressiva nei diversi cicli annuali di gestione del rischio corruttivo, tenendo conto delle risorse e delle competenze effettivamente disponibili. Per questa ragione </w:t>
      </w:r>
      <w:r w:rsidRPr="009C5FEC">
        <w:rPr>
          <w:rFonts w:ascii="Arial" w:hAnsi="Arial" w:cs="Arial"/>
          <w:sz w:val="21"/>
          <w:szCs w:val="21"/>
        </w:rPr>
        <w:t xml:space="preserve">nell’Allegato </w:t>
      </w:r>
      <w:r w:rsidR="00941CC6" w:rsidRPr="009C5FEC">
        <w:rPr>
          <w:rFonts w:ascii="Arial" w:hAnsi="Arial" w:cs="Arial"/>
          <w:sz w:val="21"/>
          <w:szCs w:val="21"/>
        </w:rPr>
        <w:t>C</w:t>
      </w:r>
      <w:r w:rsidRPr="009C5FEC">
        <w:rPr>
          <w:rFonts w:ascii="Arial" w:hAnsi="Arial" w:cs="Arial"/>
          <w:sz w:val="21"/>
          <w:szCs w:val="21"/>
        </w:rPr>
        <w:t>)</w:t>
      </w:r>
      <w:r>
        <w:rPr>
          <w:rFonts w:ascii="Arial" w:hAnsi="Arial" w:cs="Arial"/>
          <w:sz w:val="21"/>
          <w:szCs w:val="21"/>
        </w:rPr>
        <w:t xml:space="preserve"> – </w:t>
      </w:r>
      <w:r w:rsidRPr="009C5FEC">
        <w:rPr>
          <w:rFonts w:ascii="Arial" w:hAnsi="Arial" w:cs="Arial"/>
          <w:i/>
          <w:iCs/>
          <w:sz w:val="21"/>
          <w:szCs w:val="21"/>
        </w:rPr>
        <w:t>Descrizione</w:t>
      </w:r>
      <w:r>
        <w:rPr>
          <w:rFonts w:ascii="Arial" w:hAnsi="Arial" w:cs="Arial"/>
          <w:i/>
          <w:iCs/>
          <w:sz w:val="21"/>
          <w:szCs w:val="21"/>
        </w:rPr>
        <w:t xml:space="preserve"> dei </w:t>
      </w:r>
      <w:r>
        <w:rPr>
          <w:rFonts w:ascii="Arial" w:hAnsi="Arial" w:cs="Arial"/>
          <w:i/>
          <w:iCs/>
          <w:sz w:val="21"/>
          <w:szCs w:val="21"/>
        </w:rPr>
        <w:lastRenderedPageBreak/>
        <w:t>processi</w:t>
      </w:r>
      <w:r>
        <w:rPr>
          <w:rFonts w:ascii="Arial" w:hAnsi="Arial" w:cs="Arial"/>
          <w:sz w:val="21"/>
          <w:szCs w:val="21"/>
        </w:rPr>
        <w:t xml:space="preserve"> - sono stati considerati, con l’impegno di inserirne gradualmente di nuovi, i seguenti elementi per la descrizione dei processi:</w:t>
      </w:r>
    </w:p>
    <w:p w:rsidR="00582DE2" w:rsidRDefault="00582DE2" w:rsidP="00582DE2">
      <w:pPr>
        <w:spacing w:before="100"/>
        <w:jc w:val="both"/>
        <w:rPr>
          <w:rFonts w:ascii="Arial" w:hAnsi="Arial" w:cs="Arial"/>
          <w:sz w:val="21"/>
          <w:szCs w:val="21"/>
        </w:rPr>
      </w:pPr>
      <w:r>
        <w:rPr>
          <w:rFonts w:ascii="Arial" w:hAnsi="Arial" w:cs="Arial"/>
          <w:sz w:val="21"/>
          <w:szCs w:val="21"/>
        </w:rPr>
        <w:t>- Origine del processo (input)</w:t>
      </w:r>
    </w:p>
    <w:p w:rsidR="00582DE2" w:rsidRDefault="00582DE2" w:rsidP="00582DE2">
      <w:pPr>
        <w:spacing w:before="100"/>
        <w:jc w:val="both"/>
        <w:rPr>
          <w:rFonts w:ascii="Arial" w:hAnsi="Arial" w:cs="Arial"/>
          <w:sz w:val="21"/>
          <w:szCs w:val="21"/>
        </w:rPr>
      </w:pPr>
      <w:r>
        <w:rPr>
          <w:rFonts w:ascii="Arial" w:hAnsi="Arial" w:cs="Arial"/>
          <w:sz w:val="21"/>
          <w:szCs w:val="21"/>
        </w:rPr>
        <w:t>- Risultato atteso (output)</w:t>
      </w:r>
    </w:p>
    <w:p w:rsidR="00582DE2" w:rsidRDefault="00582DE2" w:rsidP="00582DE2">
      <w:pPr>
        <w:spacing w:before="100"/>
        <w:jc w:val="both"/>
        <w:rPr>
          <w:rFonts w:ascii="Arial" w:hAnsi="Arial" w:cs="Arial"/>
          <w:sz w:val="21"/>
          <w:szCs w:val="21"/>
        </w:rPr>
      </w:pPr>
      <w:r>
        <w:rPr>
          <w:rFonts w:ascii="Arial" w:hAnsi="Arial" w:cs="Arial"/>
          <w:sz w:val="21"/>
          <w:szCs w:val="21"/>
        </w:rPr>
        <w:t>- Attività</w:t>
      </w:r>
    </w:p>
    <w:p w:rsidR="00582DE2" w:rsidRDefault="00582DE2" w:rsidP="00582DE2">
      <w:pPr>
        <w:spacing w:before="100"/>
        <w:jc w:val="both"/>
        <w:rPr>
          <w:rFonts w:ascii="Arial" w:hAnsi="Arial" w:cs="Arial"/>
          <w:sz w:val="21"/>
          <w:szCs w:val="21"/>
        </w:rPr>
      </w:pPr>
      <w:r>
        <w:rPr>
          <w:rFonts w:ascii="Arial" w:hAnsi="Arial" w:cs="Arial"/>
          <w:sz w:val="21"/>
          <w:szCs w:val="21"/>
        </w:rPr>
        <w:t xml:space="preserve">- Responsabilità </w:t>
      </w:r>
    </w:p>
    <w:p w:rsidR="00582DE2" w:rsidRDefault="00582DE2" w:rsidP="00582DE2">
      <w:pPr>
        <w:spacing w:before="100"/>
        <w:jc w:val="both"/>
        <w:rPr>
          <w:rFonts w:ascii="Arial" w:hAnsi="Arial" w:cs="Arial"/>
          <w:sz w:val="21"/>
          <w:szCs w:val="21"/>
        </w:rPr>
      </w:pPr>
      <w:r>
        <w:rPr>
          <w:rFonts w:ascii="Arial" w:hAnsi="Arial" w:cs="Arial"/>
          <w:sz w:val="21"/>
          <w:szCs w:val="21"/>
        </w:rPr>
        <w:t>- Strutture organizzative coinvolte</w:t>
      </w:r>
    </w:p>
    <w:p w:rsidR="00582DE2" w:rsidRDefault="00582DE2" w:rsidP="00582DE2">
      <w:pPr>
        <w:spacing w:before="100"/>
        <w:jc w:val="both"/>
        <w:rPr>
          <w:rFonts w:ascii="Arial" w:hAnsi="Arial" w:cs="Arial"/>
          <w:sz w:val="21"/>
          <w:szCs w:val="21"/>
        </w:rPr>
      </w:pPr>
      <w:r>
        <w:rPr>
          <w:rFonts w:ascii="Arial" w:hAnsi="Arial" w:cs="Arial"/>
          <w:sz w:val="21"/>
          <w:szCs w:val="21"/>
        </w:rPr>
        <w:t xml:space="preserve">- Tempi </w:t>
      </w:r>
    </w:p>
    <w:p w:rsidR="00582DE2" w:rsidRDefault="00582DE2" w:rsidP="00582DE2">
      <w:pPr>
        <w:spacing w:before="100"/>
        <w:jc w:val="both"/>
        <w:rPr>
          <w:rFonts w:ascii="Arial" w:hAnsi="Arial" w:cs="Arial"/>
          <w:sz w:val="21"/>
          <w:szCs w:val="21"/>
        </w:rPr>
      </w:pPr>
      <w:r>
        <w:rPr>
          <w:rFonts w:ascii="Arial" w:hAnsi="Arial" w:cs="Arial"/>
          <w:sz w:val="21"/>
          <w:szCs w:val="21"/>
        </w:rPr>
        <w:t>- Normativa</w:t>
      </w:r>
    </w:p>
    <w:p w:rsidR="00582DE2" w:rsidRDefault="00582DE2" w:rsidP="00582DE2">
      <w:pPr>
        <w:spacing w:before="100"/>
        <w:jc w:val="both"/>
      </w:pPr>
      <w:r>
        <w:rPr>
          <w:rFonts w:ascii="Arial" w:hAnsi="Arial" w:cs="Arial"/>
          <w:sz w:val="21"/>
          <w:szCs w:val="21"/>
        </w:rPr>
        <w:t xml:space="preserve">L’ultima fase della mappatura dei processi concerne la </w:t>
      </w:r>
      <w:r>
        <w:rPr>
          <w:rFonts w:ascii="Arial" w:hAnsi="Arial" w:cs="Arial"/>
          <w:b/>
          <w:bCs/>
          <w:sz w:val="21"/>
          <w:szCs w:val="21"/>
        </w:rPr>
        <w:t>rappresentazione</w:t>
      </w:r>
      <w:r>
        <w:rPr>
          <w:rFonts w:ascii="Arial" w:hAnsi="Arial" w:cs="Arial"/>
          <w:sz w:val="21"/>
          <w:szCs w:val="21"/>
        </w:rPr>
        <w:t xml:space="preserve"> degli elementi descrittivi dei processi illustrati nella fase precedente. </w:t>
      </w:r>
    </w:p>
    <w:p w:rsidR="00582DE2" w:rsidRPr="009C5FEC" w:rsidRDefault="00582DE2" w:rsidP="00582DE2">
      <w:pPr>
        <w:spacing w:before="100"/>
        <w:jc w:val="both"/>
        <w:rPr>
          <w:rFonts w:ascii="Arial" w:hAnsi="Arial" w:cs="Arial"/>
          <w:sz w:val="21"/>
          <w:szCs w:val="21"/>
        </w:rPr>
      </w:pPr>
      <w:r>
        <w:rPr>
          <w:rFonts w:ascii="Arial" w:hAnsi="Arial" w:cs="Arial"/>
          <w:sz w:val="21"/>
          <w:szCs w:val="21"/>
        </w:rPr>
        <w:t xml:space="preserve">Esistono varie modalità e approcci per rappresentare il processo, tra cui la rappresentazione grafica attraverso l’utilizzo di diagrammi di flusso e la rappresentazione sotto forma tabellare. Quest’ultima è la </w:t>
      </w:r>
      <w:r w:rsidRPr="009C5FEC">
        <w:rPr>
          <w:rFonts w:ascii="Arial" w:hAnsi="Arial" w:cs="Arial"/>
          <w:sz w:val="21"/>
          <w:szCs w:val="21"/>
        </w:rPr>
        <w:t xml:space="preserve">forma più semplice e immediata e in questa fase si opta per questo tipo di rappresentazione (Allegato </w:t>
      </w:r>
      <w:r w:rsidR="00941CC6" w:rsidRPr="009C5FEC">
        <w:rPr>
          <w:rFonts w:ascii="Arial" w:hAnsi="Arial" w:cs="Arial"/>
          <w:sz w:val="21"/>
          <w:szCs w:val="21"/>
        </w:rPr>
        <w:t>D</w:t>
      </w:r>
      <w:r w:rsidR="009C5FEC">
        <w:rPr>
          <w:rFonts w:ascii="Arial" w:hAnsi="Arial" w:cs="Arial"/>
          <w:sz w:val="21"/>
          <w:szCs w:val="21"/>
        </w:rPr>
        <w:t>)</w:t>
      </w:r>
      <w:r w:rsidRPr="009C5FEC">
        <w:rPr>
          <w:rFonts w:ascii="Arial" w:hAnsi="Arial" w:cs="Arial"/>
          <w:sz w:val="21"/>
          <w:szCs w:val="21"/>
        </w:rPr>
        <w:t>):</w:t>
      </w:r>
      <w:r>
        <w:rPr>
          <w:rFonts w:ascii="Arial" w:hAnsi="Arial" w:cs="Arial"/>
          <w:sz w:val="21"/>
          <w:szCs w:val="21"/>
        </w:rPr>
        <w:t xml:space="preserve"> </w:t>
      </w:r>
    </w:p>
    <w:p w:rsidR="00582DE2" w:rsidRDefault="00582DE2" w:rsidP="00582DE2">
      <w:pPr>
        <w:spacing w:before="100"/>
        <w:jc w:val="both"/>
        <w:rPr>
          <w:rFonts w:ascii="Arial" w:hAnsi="Arial" w:cs="Arial"/>
          <w:sz w:val="21"/>
          <w:szCs w:val="21"/>
          <w:u w:val="single"/>
        </w:rPr>
      </w:pPr>
      <w:r>
        <w:rPr>
          <w:rFonts w:ascii="Arial" w:hAnsi="Arial" w:cs="Arial"/>
          <w:sz w:val="21"/>
          <w:szCs w:val="21"/>
          <w:u w:val="single"/>
        </w:rPr>
        <w:t>Processo - Attività – Strutture organizzative coinvolte.</w:t>
      </w:r>
    </w:p>
    <w:p w:rsidR="00582DE2" w:rsidRDefault="00582DE2" w:rsidP="00582DE2">
      <w:pPr>
        <w:spacing w:before="100"/>
        <w:jc w:val="both"/>
        <w:rPr>
          <w:rFonts w:ascii="Arial" w:hAnsi="Arial" w:cs="Arial"/>
          <w:sz w:val="21"/>
          <w:szCs w:val="21"/>
        </w:rPr>
      </w:pPr>
    </w:p>
    <w:p w:rsidR="00582DE2" w:rsidRDefault="00582DE2" w:rsidP="00582DE2">
      <w:pPr>
        <w:spacing w:before="100"/>
        <w:jc w:val="both"/>
        <w:rPr>
          <w:rFonts w:ascii="Arial" w:hAnsi="Arial" w:cs="Arial"/>
          <w:b/>
          <w:bCs/>
          <w:sz w:val="21"/>
          <w:szCs w:val="21"/>
        </w:rPr>
      </w:pPr>
      <w:r>
        <w:rPr>
          <w:rFonts w:ascii="Arial" w:hAnsi="Arial" w:cs="Arial"/>
          <w:b/>
          <w:bCs/>
          <w:sz w:val="21"/>
          <w:szCs w:val="21"/>
        </w:rPr>
        <w:t>6. VALUTAZIONE DEL RISCHIO</w:t>
      </w:r>
    </w:p>
    <w:p w:rsidR="00582DE2" w:rsidRDefault="00582DE2" w:rsidP="00582DE2">
      <w:pPr>
        <w:spacing w:before="100"/>
        <w:jc w:val="both"/>
      </w:pPr>
      <w:r>
        <w:rPr>
          <w:rFonts w:ascii="Arial" w:hAnsi="Arial" w:cs="Arial"/>
          <w:sz w:val="21"/>
          <w:szCs w:val="21"/>
        </w:rPr>
        <w:t xml:space="preserve">Secondo il PNA, la valutazione del rischio è una “macro-fase” del processo di gestione del rischio, nella quale il rischio stesso viene “identificato, analizzato e confrontato con gli altri rischi al fine di individuare le priorità di intervento e le possibili misure correttive e preventive (trattamento del rischio)”. Tale “macro-fase” si compone di tre (sub) fasi: </w:t>
      </w:r>
      <w:r>
        <w:rPr>
          <w:rFonts w:ascii="Arial" w:hAnsi="Arial" w:cs="Arial"/>
          <w:b/>
          <w:bCs/>
          <w:sz w:val="21"/>
          <w:szCs w:val="21"/>
        </w:rPr>
        <w:t>identificazione, analisi e ponderazione</w:t>
      </w:r>
      <w:r>
        <w:rPr>
          <w:rFonts w:ascii="Arial" w:hAnsi="Arial" w:cs="Arial"/>
          <w:sz w:val="21"/>
          <w:szCs w:val="21"/>
        </w:rPr>
        <w:t>.</w:t>
      </w:r>
    </w:p>
    <w:p w:rsidR="00582DE2" w:rsidRDefault="00582DE2" w:rsidP="00582DE2">
      <w:pPr>
        <w:spacing w:before="100"/>
        <w:jc w:val="both"/>
        <w:rPr>
          <w:rFonts w:ascii="Arial" w:hAnsi="Arial" w:cs="Arial"/>
          <w:sz w:val="21"/>
          <w:szCs w:val="21"/>
        </w:rPr>
      </w:pPr>
    </w:p>
    <w:p w:rsidR="00582DE2" w:rsidRDefault="00582DE2" w:rsidP="00582DE2">
      <w:pPr>
        <w:spacing w:before="100"/>
        <w:jc w:val="both"/>
      </w:pPr>
      <w:r>
        <w:rPr>
          <w:rFonts w:ascii="Arial" w:hAnsi="Arial" w:cs="Arial"/>
          <w:b/>
          <w:bCs/>
          <w:sz w:val="21"/>
          <w:szCs w:val="21"/>
        </w:rPr>
        <w:t xml:space="preserve">6.1. IDENTIFICAZIONE EVENTI RISCHIOSI </w:t>
      </w:r>
    </w:p>
    <w:p w:rsidR="00582DE2" w:rsidRDefault="00582DE2" w:rsidP="00582DE2">
      <w:pPr>
        <w:spacing w:before="100"/>
        <w:jc w:val="both"/>
      </w:pPr>
      <w:r>
        <w:rPr>
          <w:rFonts w:ascii="Arial" w:hAnsi="Arial" w:cs="Arial"/>
          <w:sz w:val="21"/>
          <w:szCs w:val="21"/>
        </w:rPr>
        <w:t xml:space="preserve">Nella fase di </w:t>
      </w:r>
      <w:r>
        <w:rPr>
          <w:rFonts w:ascii="Arial" w:hAnsi="Arial" w:cs="Arial"/>
          <w:b/>
          <w:bCs/>
          <w:sz w:val="21"/>
          <w:szCs w:val="21"/>
        </w:rPr>
        <w:t xml:space="preserve">identificazione </w:t>
      </w:r>
      <w:r>
        <w:rPr>
          <w:rFonts w:ascii="Arial" w:hAnsi="Arial" w:cs="Arial"/>
          <w:sz w:val="21"/>
          <w:szCs w:val="21"/>
        </w:rPr>
        <w:t>l’obiettivo è individuare comportamenti o fatti, relativi ai processi dell’amministrazione, tramite i quali si concretizza il fenomeno corruttivo.</w:t>
      </w:r>
    </w:p>
    <w:p w:rsidR="00582DE2" w:rsidRDefault="00582DE2" w:rsidP="00582DE2">
      <w:pPr>
        <w:spacing w:before="100"/>
        <w:jc w:val="both"/>
      </w:pPr>
      <w:r>
        <w:rPr>
          <w:rFonts w:ascii="Arial" w:hAnsi="Arial" w:cs="Arial"/>
          <w:sz w:val="21"/>
          <w:szCs w:val="21"/>
        </w:rPr>
        <w:t xml:space="preserve">Per individuare gli “eventi rischiosi” è necessario: definire </w:t>
      </w:r>
      <w:r>
        <w:rPr>
          <w:rFonts w:ascii="Arial" w:hAnsi="Arial" w:cs="Arial"/>
          <w:sz w:val="21"/>
          <w:szCs w:val="21"/>
          <w:u w:val="single"/>
        </w:rPr>
        <w:t>l’oggetto di analisi;</w:t>
      </w:r>
      <w:r>
        <w:rPr>
          <w:rFonts w:ascii="Arial" w:hAnsi="Arial" w:cs="Arial"/>
          <w:sz w:val="21"/>
          <w:szCs w:val="21"/>
        </w:rPr>
        <w:t xml:space="preserve"> utilizzare </w:t>
      </w:r>
      <w:r>
        <w:rPr>
          <w:rFonts w:ascii="Arial" w:hAnsi="Arial" w:cs="Arial"/>
          <w:sz w:val="21"/>
          <w:szCs w:val="21"/>
          <w:u w:val="single"/>
        </w:rPr>
        <w:t>tecniche</w:t>
      </w:r>
      <w:r>
        <w:rPr>
          <w:rFonts w:ascii="Arial" w:hAnsi="Arial" w:cs="Arial"/>
          <w:sz w:val="21"/>
          <w:szCs w:val="21"/>
        </w:rPr>
        <w:t xml:space="preserve"> di identificazione e una pluralità di </w:t>
      </w:r>
      <w:r>
        <w:rPr>
          <w:rFonts w:ascii="Arial" w:hAnsi="Arial" w:cs="Arial"/>
          <w:sz w:val="21"/>
          <w:szCs w:val="21"/>
          <w:u w:val="single"/>
        </w:rPr>
        <w:t>fonti informative</w:t>
      </w:r>
      <w:r>
        <w:rPr>
          <w:rFonts w:ascii="Arial" w:hAnsi="Arial" w:cs="Arial"/>
          <w:sz w:val="21"/>
          <w:szCs w:val="21"/>
        </w:rPr>
        <w:t xml:space="preserve">; </w:t>
      </w:r>
      <w:r>
        <w:rPr>
          <w:rFonts w:ascii="Arial" w:hAnsi="Arial" w:cs="Arial"/>
          <w:sz w:val="21"/>
          <w:szCs w:val="21"/>
          <w:u w:val="single"/>
        </w:rPr>
        <w:t>individuare i rischi</w:t>
      </w:r>
      <w:r>
        <w:rPr>
          <w:rFonts w:ascii="Arial" w:hAnsi="Arial" w:cs="Arial"/>
          <w:sz w:val="21"/>
          <w:szCs w:val="21"/>
        </w:rPr>
        <w:t xml:space="preserve"> e formalizzarli nel PTPCT.</w:t>
      </w:r>
    </w:p>
    <w:p w:rsidR="00582DE2" w:rsidRDefault="00582DE2" w:rsidP="00582DE2">
      <w:pPr>
        <w:spacing w:before="100"/>
        <w:jc w:val="both"/>
      </w:pPr>
      <w:r>
        <w:rPr>
          <w:rFonts w:ascii="Arial" w:hAnsi="Arial" w:cs="Arial"/>
          <w:sz w:val="21"/>
          <w:szCs w:val="21"/>
          <w:u w:val="single"/>
        </w:rPr>
        <w:t>L’oggetto di analisi</w:t>
      </w:r>
      <w:r>
        <w:rPr>
          <w:rFonts w:ascii="Arial" w:hAnsi="Arial" w:cs="Arial"/>
          <w:sz w:val="21"/>
          <w:szCs w:val="21"/>
        </w:rPr>
        <w:t xml:space="preserve"> è l’unità di riferimento rispetto alla quale individuare gli eventi rischiosi.  Dopo la “mappatura”, l’oggetto di analisi può essere: l’intero processo; ovvero le singole attività che compongono ciascun processo. Secondo l’Autorità, “Tenendo conto della dimensione organizzativa dell’amministrazione, delle conoscenze e delle risorse disponibili, l’oggetto di analisi può essere definito con livelli di analiticità e, dunque, di qualità progressivamente crescenti”.</w:t>
      </w:r>
    </w:p>
    <w:p w:rsidR="00582DE2" w:rsidRDefault="00582DE2" w:rsidP="00582DE2">
      <w:pPr>
        <w:spacing w:before="100"/>
        <w:jc w:val="both"/>
        <w:rPr>
          <w:rFonts w:ascii="Arial" w:hAnsi="Arial" w:cs="Arial"/>
          <w:sz w:val="21"/>
          <w:szCs w:val="21"/>
        </w:rPr>
      </w:pPr>
      <w:r>
        <w:rPr>
          <w:rFonts w:ascii="Arial" w:hAnsi="Arial" w:cs="Arial"/>
          <w:sz w:val="21"/>
          <w:szCs w:val="21"/>
        </w:rPr>
        <w:t xml:space="preserve">Nel presente Piano, data la dimensione organizzativa contenuta dell’Ente, è stato preso come oggetto di analisi il processo ed in attuazione del principio di gradualità (PNA 2019), nel corso del prossimo esercizio (e dei due successivi) il RPCT coordinerà i Responsabili dell’Ente in un apposito Gruppo di lavoro, per affinare la metodologia di lavoro, passando dal livello minimo di analisi (per processo) ad un livello via via più dettagliato (per attività), perlomeno per i processi maggiormente esposti a rischi corruttivi. </w:t>
      </w:r>
    </w:p>
    <w:p w:rsidR="00582DE2" w:rsidRDefault="00582DE2" w:rsidP="00582DE2">
      <w:pPr>
        <w:spacing w:before="100"/>
        <w:jc w:val="both"/>
      </w:pPr>
      <w:r>
        <w:rPr>
          <w:rFonts w:ascii="Arial" w:hAnsi="Arial" w:cs="Arial"/>
          <w:sz w:val="21"/>
          <w:szCs w:val="21"/>
          <w:u w:val="single"/>
        </w:rPr>
        <w:t>Tecniche e fonti informative</w:t>
      </w:r>
      <w:r>
        <w:rPr>
          <w:rFonts w:ascii="Arial" w:hAnsi="Arial" w:cs="Arial"/>
          <w:sz w:val="21"/>
          <w:szCs w:val="21"/>
        </w:rPr>
        <w:t>: per identificare gli eventi rischiosi “è opportuno che ogni amministrazione utilizzi una pluralità di tecniche e prenda in considerazione il più ampio numero possibile di fonti informative</w:t>
      </w:r>
      <w:r>
        <w:rPr>
          <w:rFonts w:ascii="Arial" w:hAnsi="Arial" w:cs="Arial"/>
        </w:rPr>
        <w:t>”.</w:t>
      </w:r>
    </w:p>
    <w:p w:rsidR="00582DE2" w:rsidRDefault="00582DE2" w:rsidP="00582DE2">
      <w:pPr>
        <w:spacing w:before="100"/>
        <w:jc w:val="both"/>
        <w:rPr>
          <w:rFonts w:ascii="Arial" w:hAnsi="Arial" w:cs="Arial"/>
          <w:sz w:val="21"/>
          <w:szCs w:val="21"/>
        </w:rPr>
      </w:pPr>
      <w:r>
        <w:rPr>
          <w:rFonts w:ascii="Arial" w:hAnsi="Arial" w:cs="Arial"/>
          <w:sz w:val="21"/>
          <w:szCs w:val="21"/>
        </w:rPr>
        <w:t>Le tecniche applicabili sono molteplici, quali: l’analisi di documenti e di banche dati, l’esame delle segnalazioni, le interviste e gli incontri con il personale, workshop e focus group, confronti con amministrazioni simili (benchmarking), analisi dei casi di corruzione, ecc.</w:t>
      </w:r>
    </w:p>
    <w:p w:rsidR="00582DE2" w:rsidRDefault="00582DE2" w:rsidP="00582DE2">
      <w:pPr>
        <w:spacing w:before="100"/>
        <w:jc w:val="both"/>
        <w:rPr>
          <w:rFonts w:ascii="Arial" w:hAnsi="Arial" w:cs="Arial"/>
          <w:sz w:val="21"/>
          <w:szCs w:val="21"/>
        </w:rPr>
      </w:pPr>
      <w:r>
        <w:rPr>
          <w:rFonts w:ascii="Arial" w:hAnsi="Arial" w:cs="Arial"/>
          <w:sz w:val="21"/>
          <w:szCs w:val="21"/>
        </w:rPr>
        <w:t>A questo proposito si precisa che sono state applicate principalmente le seguenti metodologie:</w:t>
      </w:r>
    </w:p>
    <w:p w:rsidR="00582DE2" w:rsidRDefault="00582DE2" w:rsidP="00582DE2">
      <w:pPr>
        <w:spacing w:before="100"/>
        <w:jc w:val="both"/>
        <w:rPr>
          <w:rFonts w:ascii="Arial" w:hAnsi="Arial" w:cs="Arial"/>
          <w:sz w:val="21"/>
          <w:szCs w:val="21"/>
        </w:rPr>
      </w:pPr>
      <w:r>
        <w:rPr>
          <w:rFonts w:ascii="Arial" w:hAnsi="Arial" w:cs="Arial"/>
          <w:sz w:val="21"/>
          <w:szCs w:val="21"/>
        </w:rPr>
        <w:t xml:space="preserve"> - in primo luogo, la partecipazione degli stessi Responsabili, con conoscenza diretta dei processi e quindi delle relative criticità; </w:t>
      </w:r>
    </w:p>
    <w:p w:rsidR="00582DE2" w:rsidRDefault="00582DE2" w:rsidP="00582DE2">
      <w:pPr>
        <w:spacing w:before="100"/>
        <w:jc w:val="both"/>
        <w:rPr>
          <w:rFonts w:ascii="Arial" w:hAnsi="Arial" w:cs="Arial"/>
          <w:sz w:val="21"/>
          <w:szCs w:val="21"/>
        </w:rPr>
      </w:pPr>
      <w:r>
        <w:rPr>
          <w:rFonts w:ascii="Arial" w:hAnsi="Arial" w:cs="Arial"/>
          <w:sz w:val="21"/>
          <w:szCs w:val="21"/>
        </w:rPr>
        <w:lastRenderedPageBreak/>
        <w:t xml:space="preserve">- i risultati dell’analisi del contesto; </w:t>
      </w:r>
    </w:p>
    <w:p w:rsidR="00582DE2" w:rsidRDefault="00582DE2" w:rsidP="00582DE2">
      <w:pPr>
        <w:spacing w:before="100"/>
        <w:jc w:val="both"/>
        <w:rPr>
          <w:rFonts w:ascii="Arial" w:hAnsi="Arial" w:cs="Arial"/>
          <w:sz w:val="21"/>
          <w:szCs w:val="21"/>
        </w:rPr>
      </w:pPr>
      <w:r>
        <w:rPr>
          <w:rFonts w:ascii="Arial" w:hAnsi="Arial" w:cs="Arial"/>
          <w:sz w:val="21"/>
          <w:szCs w:val="21"/>
        </w:rPr>
        <w:t xml:space="preserve">- le risultanze della mappatura; </w:t>
      </w:r>
    </w:p>
    <w:p w:rsidR="00582DE2" w:rsidRDefault="00582DE2" w:rsidP="00582DE2">
      <w:pPr>
        <w:spacing w:before="100"/>
        <w:jc w:val="both"/>
        <w:rPr>
          <w:rFonts w:ascii="Arial" w:hAnsi="Arial" w:cs="Arial"/>
          <w:sz w:val="21"/>
          <w:szCs w:val="21"/>
        </w:rPr>
      </w:pPr>
      <w:r>
        <w:rPr>
          <w:rFonts w:ascii="Arial" w:hAnsi="Arial" w:cs="Arial"/>
          <w:sz w:val="21"/>
          <w:szCs w:val="21"/>
        </w:rPr>
        <w:t xml:space="preserve">- l’analisi di casi giudiziari e di altri episodi di corruzione o cattiva gestione accaduti in passato in altre amministrazioni o enti simili; </w:t>
      </w:r>
    </w:p>
    <w:p w:rsidR="00582DE2" w:rsidRDefault="00582DE2" w:rsidP="00582DE2">
      <w:pPr>
        <w:spacing w:before="100"/>
        <w:jc w:val="both"/>
        <w:rPr>
          <w:rFonts w:ascii="Arial" w:hAnsi="Arial" w:cs="Arial"/>
          <w:sz w:val="21"/>
          <w:szCs w:val="21"/>
        </w:rPr>
      </w:pPr>
      <w:r>
        <w:rPr>
          <w:rFonts w:ascii="Arial" w:hAnsi="Arial" w:cs="Arial"/>
          <w:sz w:val="21"/>
          <w:szCs w:val="21"/>
        </w:rPr>
        <w:t>- segnalazioni ricevute tramite il “whistleblowing” o con altre modalità.</w:t>
      </w:r>
    </w:p>
    <w:p w:rsidR="00582DE2" w:rsidRDefault="00582DE2" w:rsidP="00582DE2">
      <w:pPr>
        <w:spacing w:before="100"/>
        <w:jc w:val="both"/>
      </w:pPr>
      <w:r>
        <w:rPr>
          <w:rFonts w:ascii="Arial" w:hAnsi="Arial" w:cs="Arial"/>
          <w:sz w:val="21"/>
          <w:szCs w:val="21"/>
          <w:u w:val="single"/>
        </w:rPr>
        <w:t>Identificazione dei rischi:</w:t>
      </w:r>
      <w:r>
        <w:rPr>
          <w:rFonts w:ascii="Arial" w:hAnsi="Arial" w:cs="Arial"/>
          <w:sz w:val="21"/>
          <w:szCs w:val="21"/>
        </w:rPr>
        <w:t xml:space="preserve"> una volta individuati gli eventi rischiosi, questi devono essere formalizzati e documentati nel PTPCT.</w:t>
      </w:r>
    </w:p>
    <w:p w:rsidR="00582DE2" w:rsidRDefault="00582DE2" w:rsidP="00582DE2">
      <w:pPr>
        <w:spacing w:before="100"/>
        <w:jc w:val="both"/>
        <w:rPr>
          <w:rFonts w:ascii="Arial" w:hAnsi="Arial" w:cs="Arial"/>
          <w:sz w:val="21"/>
          <w:szCs w:val="21"/>
        </w:rPr>
      </w:pPr>
      <w:r>
        <w:rPr>
          <w:rFonts w:ascii="Arial" w:hAnsi="Arial" w:cs="Arial"/>
          <w:sz w:val="21"/>
          <w:szCs w:val="21"/>
        </w:rPr>
        <w:t>Nell’Allegato I) del presente Piano per ogni processo sono riportati gli eventi rischiosi rilevati.</w:t>
      </w:r>
    </w:p>
    <w:p w:rsidR="00582DE2" w:rsidRDefault="00582DE2" w:rsidP="00582DE2">
      <w:pPr>
        <w:spacing w:before="100"/>
        <w:jc w:val="both"/>
        <w:rPr>
          <w:rFonts w:ascii="Arial" w:hAnsi="Arial" w:cs="Arial"/>
          <w:sz w:val="21"/>
          <w:szCs w:val="21"/>
        </w:rPr>
      </w:pPr>
      <w:r>
        <w:rPr>
          <w:rFonts w:ascii="Arial" w:hAnsi="Arial" w:cs="Arial"/>
          <w:sz w:val="21"/>
          <w:szCs w:val="21"/>
        </w:rPr>
        <w:t>Inoltre l’Allegato J) costituisce il “Registro degli eventi rischiosi”, nel quale sono riportati tutti gli eventi relativi ai processi mappati.</w:t>
      </w:r>
    </w:p>
    <w:p w:rsidR="00582DE2" w:rsidRDefault="00582DE2" w:rsidP="00582DE2">
      <w:pPr>
        <w:spacing w:before="100"/>
        <w:jc w:val="both"/>
      </w:pPr>
    </w:p>
    <w:p w:rsidR="00582DE2" w:rsidRDefault="00582DE2" w:rsidP="00582DE2">
      <w:pPr>
        <w:spacing w:before="100"/>
        <w:jc w:val="both"/>
        <w:rPr>
          <w:rFonts w:ascii="Arial" w:hAnsi="Arial" w:cs="Arial"/>
          <w:b/>
          <w:bCs/>
          <w:sz w:val="21"/>
          <w:szCs w:val="21"/>
        </w:rPr>
      </w:pPr>
      <w:r>
        <w:rPr>
          <w:rFonts w:ascii="Arial" w:hAnsi="Arial" w:cs="Arial"/>
          <w:b/>
          <w:bCs/>
          <w:sz w:val="21"/>
          <w:szCs w:val="21"/>
        </w:rPr>
        <w:t>6.2. ANALISI DEL RISCHIO</w:t>
      </w:r>
    </w:p>
    <w:p w:rsidR="00582DE2" w:rsidRDefault="00582DE2" w:rsidP="00582DE2">
      <w:pPr>
        <w:spacing w:before="100"/>
        <w:jc w:val="both"/>
        <w:rPr>
          <w:rFonts w:ascii="Arial" w:hAnsi="Arial" w:cs="Arial"/>
          <w:sz w:val="21"/>
          <w:szCs w:val="21"/>
        </w:rPr>
      </w:pPr>
      <w:r>
        <w:rPr>
          <w:rFonts w:ascii="Arial" w:hAnsi="Arial" w:cs="Arial"/>
          <w:sz w:val="21"/>
          <w:szCs w:val="21"/>
        </w:rPr>
        <w:t>L’analisi del rischio secondo il PNA si prefigge due obiettivi: comprendere gli eventi rischiosi, identificati nella fase precedente, attraverso l’esame dei cosiddetti “fattori abilitanti” della corruzione; ponderare il livello di esposizione al rischio dei processi e delle attività.</w:t>
      </w:r>
    </w:p>
    <w:p w:rsidR="00582DE2" w:rsidRDefault="00582DE2" w:rsidP="00582DE2">
      <w:pPr>
        <w:spacing w:before="100"/>
        <w:jc w:val="both"/>
        <w:rPr>
          <w:rFonts w:ascii="Arial" w:hAnsi="Arial" w:cs="Arial"/>
          <w:sz w:val="21"/>
          <w:szCs w:val="21"/>
          <w:u w:val="single"/>
        </w:rPr>
      </w:pPr>
      <w:r>
        <w:rPr>
          <w:rFonts w:ascii="Arial" w:hAnsi="Arial" w:cs="Arial"/>
          <w:sz w:val="21"/>
          <w:szCs w:val="21"/>
          <w:u w:val="single"/>
        </w:rPr>
        <w:t xml:space="preserve">Fattori abilitanti </w:t>
      </w:r>
    </w:p>
    <w:p w:rsidR="00582DE2" w:rsidRDefault="00582DE2" w:rsidP="00582DE2">
      <w:pPr>
        <w:spacing w:before="100"/>
        <w:jc w:val="both"/>
        <w:rPr>
          <w:rFonts w:ascii="Arial" w:hAnsi="Arial" w:cs="Arial"/>
          <w:sz w:val="21"/>
          <w:szCs w:val="21"/>
        </w:rPr>
      </w:pPr>
      <w:r>
        <w:rPr>
          <w:rFonts w:ascii="Arial" w:hAnsi="Arial" w:cs="Arial"/>
          <w:sz w:val="21"/>
          <w:szCs w:val="21"/>
        </w:rPr>
        <w:t>L’analisi è volta a comprendere i “fattori abilitanti” la corruzione, i fattori di contesto che agevolano il verificarsi di comportamenti o fatti di corruzione, la cui analisi consente di individuare misure specifiche di prevenzione più efficaci</w:t>
      </w:r>
    </w:p>
    <w:p w:rsidR="00582DE2" w:rsidRDefault="00582DE2" w:rsidP="00582DE2">
      <w:pPr>
        <w:spacing w:before="100"/>
        <w:jc w:val="both"/>
        <w:rPr>
          <w:rFonts w:ascii="Arial" w:hAnsi="Arial" w:cs="Arial"/>
          <w:sz w:val="21"/>
          <w:szCs w:val="21"/>
        </w:rPr>
      </w:pPr>
      <w:r>
        <w:rPr>
          <w:rFonts w:ascii="Arial" w:hAnsi="Arial" w:cs="Arial"/>
          <w:sz w:val="21"/>
          <w:szCs w:val="21"/>
        </w:rPr>
        <w:t xml:space="preserve">Per ciascun rischio, i fattori abilitanti possono essere molteplici e combinarsi tra loro. Per la stesura del presente Piano sono stati considerati i seguenti fattori: </w:t>
      </w:r>
    </w:p>
    <w:p w:rsidR="00582DE2" w:rsidRDefault="00582DE2" w:rsidP="00582DE2">
      <w:pPr>
        <w:pStyle w:val="Paragrafoelenco"/>
        <w:numPr>
          <w:ilvl w:val="0"/>
          <w:numId w:val="37"/>
        </w:numPr>
        <w:spacing w:before="100" w:line="240" w:lineRule="auto"/>
        <w:jc w:val="both"/>
        <w:rPr>
          <w:rFonts w:ascii="Arial" w:hAnsi="Arial" w:cs="Arial"/>
          <w:sz w:val="21"/>
          <w:szCs w:val="21"/>
        </w:rPr>
      </w:pPr>
      <w:r>
        <w:rPr>
          <w:rFonts w:ascii="Arial" w:hAnsi="Arial" w:cs="Arial"/>
          <w:sz w:val="21"/>
          <w:szCs w:val="21"/>
        </w:rPr>
        <w:t xml:space="preserve">assenza di misure di trattamento del rischio: si deve verificare se siano già stati predisposti, e con quale efficacia, strumenti di controllo degli eventi rischiosi; </w:t>
      </w:r>
    </w:p>
    <w:p w:rsidR="00582DE2" w:rsidRDefault="00582DE2" w:rsidP="00582DE2">
      <w:pPr>
        <w:pStyle w:val="Paragrafoelenco"/>
        <w:numPr>
          <w:ilvl w:val="0"/>
          <w:numId w:val="37"/>
        </w:numPr>
        <w:spacing w:before="100" w:line="240" w:lineRule="auto"/>
        <w:jc w:val="both"/>
        <w:rPr>
          <w:rFonts w:ascii="Arial" w:hAnsi="Arial" w:cs="Arial"/>
          <w:sz w:val="21"/>
          <w:szCs w:val="21"/>
        </w:rPr>
      </w:pPr>
      <w:r>
        <w:rPr>
          <w:rFonts w:ascii="Arial" w:hAnsi="Arial" w:cs="Arial"/>
          <w:sz w:val="21"/>
          <w:szCs w:val="21"/>
        </w:rPr>
        <w:t xml:space="preserve">mancanza di trasparenza; </w:t>
      </w:r>
    </w:p>
    <w:p w:rsidR="00582DE2" w:rsidRDefault="00582DE2" w:rsidP="00582DE2">
      <w:pPr>
        <w:pStyle w:val="Paragrafoelenco"/>
        <w:numPr>
          <w:ilvl w:val="0"/>
          <w:numId w:val="37"/>
        </w:numPr>
        <w:spacing w:before="100" w:line="240" w:lineRule="auto"/>
        <w:jc w:val="both"/>
        <w:rPr>
          <w:rFonts w:ascii="Arial" w:hAnsi="Arial" w:cs="Arial"/>
          <w:sz w:val="21"/>
          <w:szCs w:val="21"/>
        </w:rPr>
      </w:pPr>
      <w:r>
        <w:rPr>
          <w:rFonts w:ascii="Arial" w:hAnsi="Arial" w:cs="Arial"/>
          <w:sz w:val="21"/>
          <w:szCs w:val="21"/>
        </w:rPr>
        <w:t>eccessiva regolamentazione, complessità e scarsa chiarezza della normativa di riferimento;</w:t>
      </w:r>
    </w:p>
    <w:p w:rsidR="00582DE2" w:rsidRDefault="00582DE2" w:rsidP="00582DE2">
      <w:pPr>
        <w:pStyle w:val="Paragrafoelenco"/>
        <w:numPr>
          <w:ilvl w:val="0"/>
          <w:numId w:val="37"/>
        </w:numPr>
        <w:spacing w:before="100" w:line="240" w:lineRule="auto"/>
        <w:jc w:val="both"/>
        <w:rPr>
          <w:rFonts w:ascii="Arial" w:hAnsi="Arial" w:cs="Arial"/>
          <w:sz w:val="21"/>
          <w:szCs w:val="21"/>
        </w:rPr>
      </w:pPr>
      <w:r>
        <w:rPr>
          <w:rFonts w:ascii="Arial" w:hAnsi="Arial" w:cs="Arial"/>
          <w:sz w:val="21"/>
          <w:szCs w:val="21"/>
        </w:rPr>
        <w:t xml:space="preserve">esercizio prolungato ed esclusivo della responsabilità di un processo da parte di pochi o di un unico soggetto; </w:t>
      </w:r>
    </w:p>
    <w:p w:rsidR="00582DE2" w:rsidRDefault="00582DE2" w:rsidP="00582DE2">
      <w:pPr>
        <w:pStyle w:val="Paragrafoelenco"/>
        <w:numPr>
          <w:ilvl w:val="0"/>
          <w:numId w:val="37"/>
        </w:numPr>
        <w:spacing w:before="100" w:line="240" w:lineRule="auto"/>
        <w:jc w:val="both"/>
        <w:rPr>
          <w:rFonts w:ascii="Arial" w:hAnsi="Arial" w:cs="Arial"/>
          <w:sz w:val="21"/>
          <w:szCs w:val="21"/>
        </w:rPr>
      </w:pPr>
      <w:r>
        <w:rPr>
          <w:rFonts w:ascii="Arial" w:hAnsi="Arial" w:cs="Arial"/>
          <w:sz w:val="21"/>
          <w:szCs w:val="21"/>
        </w:rPr>
        <w:t xml:space="preserve">scarsa responsabilizzazione interna; </w:t>
      </w:r>
    </w:p>
    <w:p w:rsidR="00582DE2" w:rsidRDefault="00582DE2" w:rsidP="00582DE2">
      <w:pPr>
        <w:pStyle w:val="Paragrafoelenco"/>
        <w:numPr>
          <w:ilvl w:val="0"/>
          <w:numId w:val="37"/>
        </w:numPr>
        <w:spacing w:before="100" w:line="240" w:lineRule="auto"/>
        <w:jc w:val="both"/>
        <w:rPr>
          <w:rFonts w:ascii="Arial" w:hAnsi="Arial" w:cs="Arial"/>
          <w:sz w:val="21"/>
          <w:szCs w:val="21"/>
        </w:rPr>
      </w:pPr>
      <w:r>
        <w:rPr>
          <w:rFonts w:ascii="Arial" w:hAnsi="Arial" w:cs="Arial"/>
          <w:sz w:val="21"/>
          <w:szCs w:val="21"/>
        </w:rPr>
        <w:t xml:space="preserve">inadeguatezza o assenza di competenze del personale addetto ai processi; </w:t>
      </w:r>
    </w:p>
    <w:p w:rsidR="00582DE2" w:rsidRDefault="00582DE2" w:rsidP="00582DE2">
      <w:pPr>
        <w:pStyle w:val="Paragrafoelenco"/>
        <w:numPr>
          <w:ilvl w:val="0"/>
          <w:numId w:val="37"/>
        </w:numPr>
        <w:spacing w:before="100" w:line="240" w:lineRule="auto"/>
        <w:jc w:val="both"/>
        <w:rPr>
          <w:rFonts w:ascii="Arial" w:hAnsi="Arial" w:cs="Arial"/>
          <w:sz w:val="21"/>
          <w:szCs w:val="21"/>
        </w:rPr>
      </w:pPr>
      <w:r>
        <w:rPr>
          <w:rFonts w:ascii="Arial" w:hAnsi="Arial" w:cs="Arial"/>
          <w:sz w:val="21"/>
          <w:szCs w:val="21"/>
        </w:rPr>
        <w:t xml:space="preserve">inadeguata diffusione della cultura della legalità; </w:t>
      </w:r>
    </w:p>
    <w:p w:rsidR="00582DE2" w:rsidRDefault="00582DE2" w:rsidP="00582DE2">
      <w:pPr>
        <w:pStyle w:val="Paragrafoelenco"/>
        <w:numPr>
          <w:ilvl w:val="0"/>
          <w:numId w:val="37"/>
        </w:numPr>
        <w:spacing w:before="100" w:line="240" w:lineRule="auto"/>
        <w:jc w:val="both"/>
      </w:pPr>
      <w:r>
        <w:rPr>
          <w:rFonts w:ascii="Arial" w:hAnsi="Arial" w:cs="Arial"/>
          <w:sz w:val="21"/>
          <w:szCs w:val="21"/>
        </w:rPr>
        <w:t>mancata attuazione del principio di distinzione tra politica e amministrazione.</w:t>
      </w:r>
    </w:p>
    <w:p w:rsidR="00582DE2" w:rsidRDefault="00582DE2" w:rsidP="00582DE2">
      <w:pPr>
        <w:spacing w:before="100"/>
        <w:jc w:val="both"/>
        <w:rPr>
          <w:rFonts w:ascii="Arial" w:hAnsi="Arial" w:cs="Arial"/>
          <w:sz w:val="21"/>
          <w:szCs w:val="21"/>
          <w:u w:val="single"/>
        </w:rPr>
      </w:pPr>
      <w:r>
        <w:rPr>
          <w:rFonts w:ascii="Arial" w:hAnsi="Arial" w:cs="Arial"/>
          <w:sz w:val="21"/>
          <w:szCs w:val="21"/>
          <w:u w:val="single"/>
        </w:rPr>
        <w:t>Ponderazione del livello di esposizione al rischio</w:t>
      </w:r>
    </w:p>
    <w:p w:rsidR="00582DE2" w:rsidRDefault="00582DE2" w:rsidP="00582DE2">
      <w:pPr>
        <w:spacing w:before="100"/>
        <w:jc w:val="both"/>
      </w:pPr>
      <w:r>
        <w:rPr>
          <w:rFonts w:ascii="Arial" w:hAnsi="Arial" w:cs="Arial"/>
          <w:color w:val="000000"/>
          <w:sz w:val="21"/>
          <w:szCs w:val="21"/>
        </w:rPr>
        <w:t xml:space="preserve">La nuova metodologia contenuta nel PNA 2019 propone l’utilizzo di un </w:t>
      </w:r>
      <w:r>
        <w:rPr>
          <w:rFonts w:ascii="Arial" w:hAnsi="Arial" w:cs="Arial"/>
          <w:b/>
          <w:bCs/>
          <w:color w:val="000000"/>
          <w:sz w:val="21"/>
          <w:szCs w:val="21"/>
        </w:rPr>
        <w:t>approccio qualitativo</w:t>
      </w:r>
      <w:r>
        <w:rPr>
          <w:rStyle w:val="Rimandonotaapidipagina"/>
          <w:rFonts w:ascii="Arial" w:eastAsia="Calibri" w:hAnsi="Arial" w:cs="Arial"/>
          <w:b/>
          <w:bCs/>
          <w:color w:val="000000"/>
          <w:sz w:val="21"/>
          <w:szCs w:val="21"/>
        </w:rPr>
        <w:footnoteReference w:id="1"/>
      </w:r>
      <w:r>
        <w:rPr>
          <w:rFonts w:ascii="Arial" w:hAnsi="Arial" w:cs="Arial"/>
          <w:color w:val="000000"/>
          <w:sz w:val="21"/>
          <w:szCs w:val="21"/>
        </w:rPr>
        <w:t xml:space="preserve">, in luogo dell’approccio quantitativo previsto dal precedente Allegato 5 del PNA 2013-2016, divenendo l’unico criterio valido cui fare riferimento per la predisposizione dei PTPCT. Per valutazione del rischio si intende “la </w:t>
      </w:r>
      <w:r>
        <w:rPr>
          <w:rFonts w:ascii="Arial" w:hAnsi="Arial" w:cs="Arial"/>
          <w:b/>
          <w:bCs/>
          <w:color w:val="000000"/>
          <w:sz w:val="21"/>
          <w:szCs w:val="21"/>
        </w:rPr>
        <w:t>misurazione dell’incidenza di un potenziale evento sul conseguimento degli obiettivi dell’amministrazione</w:t>
      </w:r>
      <w:r>
        <w:rPr>
          <w:rFonts w:ascii="Arial" w:hAnsi="Arial" w:cs="Arial"/>
          <w:color w:val="000000"/>
          <w:sz w:val="21"/>
          <w:szCs w:val="21"/>
        </w:rPr>
        <w:t xml:space="preserve">”. Per effettuare la valutazione del rischio si sono valutati due indicatori compositi (ognuno dei quali composto da più variabili): </w:t>
      </w:r>
      <w:r>
        <w:rPr>
          <w:rFonts w:ascii="Arial" w:hAnsi="Arial" w:cs="Arial"/>
          <w:b/>
          <w:bCs/>
          <w:color w:val="000000"/>
          <w:sz w:val="21"/>
          <w:szCs w:val="21"/>
        </w:rPr>
        <w:t xml:space="preserve">probabilità, </w:t>
      </w:r>
      <w:r>
        <w:rPr>
          <w:rFonts w:ascii="Arial" w:hAnsi="Arial" w:cs="Arial"/>
          <w:color w:val="000000"/>
          <w:sz w:val="21"/>
          <w:szCs w:val="21"/>
        </w:rPr>
        <w:t>che</w:t>
      </w:r>
      <w:r>
        <w:rPr>
          <w:rFonts w:ascii="Arial" w:hAnsi="Arial" w:cs="Arial"/>
          <w:b/>
          <w:bCs/>
          <w:color w:val="000000"/>
          <w:sz w:val="21"/>
          <w:szCs w:val="21"/>
        </w:rPr>
        <w:t xml:space="preserve"> </w:t>
      </w:r>
      <w:r>
        <w:rPr>
          <w:rFonts w:ascii="Arial" w:hAnsi="Arial" w:cs="Arial"/>
          <w:color w:val="000000"/>
          <w:sz w:val="21"/>
          <w:szCs w:val="21"/>
        </w:rPr>
        <w:t xml:space="preserve">consente di valutare quanto è probabile che l’evento accada in futuro e </w:t>
      </w:r>
      <w:r>
        <w:rPr>
          <w:rFonts w:ascii="Arial" w:hAnsi="Arial" w:cs="Arial"/>
          <w:b/>
          <w:bCs/>
          <w:color w:val="000000"/>
          <w:sz w:val="21"/>
          <w:szCs w:val="21"/>
        </w:rPr>
        <w:t xml:space="preserve">impatto, </w:t>
      </w:r>
      <w:r>
        <w:rPr>
          <w:rFonts w:ascii="Arial" w:hAnsi="Arial" w:cs="Arial"/>
          <w:color w:val="000000"/>
          <w:sz w:val="21"/>
          <w:szCs w:val="21"/>
        </w:rPr>
        <w:t xml:space="preserve">che valuta il suo effetto qualora lo stesso si verifichi, ovvero l’ammontare del danno conseguente al verificarsi di un determinato evento rischioso. Per ciascuno dei </w:t>
      </w:r>
      <w:r>
        <w:rPr>
          <w:rFonts w:ascii="Arial" w:hAnsi="Arial" w:cs="Arial"/>
          <w:color w:val="000000"/>
          <w:sz w:val="21"/>
          <w:szCs w:val="21"/>
        </w:rPr>
        <w:lastRenderedPageBreak/>
        <w:t xml:space="preserve">due indicatori (probabilità e impatto), si è individuato un set di variabili significative caratterizzate da un nesso di causalità tra l’evento rischioso e il relativo accadimento. </w:t>
      </w:r>
    </w:p>
    <w:p w:rsidR="00582DE2" w:rsidRDefault="00582DE2" w:rsidP="00582DE2">
      <w:pPr>
        <w:pStyle w:val="Paragrafoelenco"/>
        <w:autoSpaceDE w:val="0"/>
        <w:spacing w:after="0"/>
        <w:ind w:left="0"/>
        <w:jc w:val="both"/>
      </w:pPr>
      <w:r>
        <w:rPr>
          <w:rFonts w:ascii="Arial" w:hAnsi="Arial" w:cs="Arial"/>
          <w:color w:val="000000"/>
          <w:sz w:val="21"/>
          <w:szCs w:val="21"/>
        </w:rPr>
        <w:t xml:space="preserve">Per la </w:t>
      </w:r>
      <w:r w:rsidRPr="009C5FEC">
        <w:rPr>
          <w:rFonts w:ascii="Arial" w:hAnsi="Arial" w:cs="Arial"/>
          <w:color w:val="000000"/>
          <w:kern w:val="0"/>
          <w:sz w:val="21"/>
          <w:szCs w:val="21"/>
          <w:lang w:eastAsia="it-IT"/>
        </w:rPr>
        <w:t xml:space="preserve">compilazione dell’Allegato </w:t>
      </w:r>
      <w:r w:rsidR="00941CC6" w:rsidRPr="009C5FEC">
        <w:rPr>
          <w:rFonts w:ascii="Arial" w:hAnsi="Arial" w:cs="Arial"/>
          <w:color w:val="000000"/>
          <w:kern w:val="0"/>
          <w:sz w:val="21"/>
          <w:szCs w:val="21"/>
          <w:lang w:eastAsia="it-IT"/>
        </w:rPr>
        <w:t>E</w:t>
      </w:r>
      <w:r w:rsidR="009C5FEC">
        <w:rPr>
          <w:rFonts w:ascii="Arial" w:hAnsi="Arial" w:cs="Arial"/>
          <w:color w:val="000000"/>
          <w:kern w:val="0"/>
          <w:sz w:val="21"/>
          <w:szCs w:val="21"/>
          <w:lang w:eastAsia="it-IT"/>
        </w:rPr>
        <w:t>)</w:t>
      </w:r>
      <w:r>
        <w:rPr>
          <w:rFonts w:ascii="Arial" w:hAnsi="Arial" w:cs="Arial"/>
          <w:b/>
          <w:bCs/>
          <w:color w:val="000000"/>
          <w:sz w:val="21"/>
          <w:szCs w:val="21"/>
        </w:rPr>
        <w:t xml:space="preserve"> – VALUTAZIONE DEL RISCHIO</w:t>
      </w:r>
      <w:r>
        <w:rPr>
          <w:rFonts w:ascii="Arial" w:hAnsi="Arial" w:cs="Arial"/>
          <w:color w:val="000000"/>
          <w:sz w:val="21"/>
          <w:szCs w:val="21"/>
        </w:rPr>
        <w:t xml:space="preserve">, si sono attuate le seguenti fasi: </w:t>
      </w:r>
    </w:p>
    <w:p w:rsidR="00582DE2" w:rsidRDefault="00582DE2" w:rsidP="00582DE2">
      <w:pPr>
        <w:pStyle w:val="Paragrafoelenco"/>
        <w:numPr>
          <w:ilvl w:val="0"/>
          <w:numId w:val="38"/>
        </w:numPr>
        <w:autoSpaceDE w:val="0"/>
        <w:jc w:val="both"/>
      </w:pPr>
      <w:r>
        <w:rPr>
          <w:rFonts w:ascii="Arial" w:hAnsi="Arial" w:cs="Arial"/>
          <w:b/>
          <w:bCs/>
          <w:color w:val="000000"/>
          <w:sz w:val="21"/>
          <w:szCs w:val="21"/>
        </w:rPr>
        <w:t>misurazione del valore di ciascuna delle variabili</w:t>
      </w:r>
      <w:r>
        <w:rPr>
          <w:rFonts w:ascii="Arial" w:hAnsi="Arial" w:cs="Arial"/>
          <w:color w:val="000000"/>
          <w:sz w:val="21"/>
          <w:szCs w:val="21"/>
        </w:rPr>
        <w:t>: in questa fase con riferimento all’indicatore di probabilità e all’indicatore di impatto sono state individuate delle variabili ciascuna delle quali può assumere un valore Alto, Medio, Basso in accordo con la relativa descrizione, si riporta di seguito la tabella utilizzata:</w:t>
      </w:r>
    </w:p>
    <w:tbl>
      <w:tblPr>
        <w:tblW w:w="9634" w:type="dxa"/>
        <w:tblCellMar>
          <w:left w:w="10" w:type="dxa"/>
          <w:right w:w="10" w:type="dxa"/>
        </w:tblCellMar>
        <w:tblLook w:val="04A0" w:firstRow="1" w:lastRow="0" w:firstColumn="1" w:lastColumn="0" w:noHBand="0" w:noVBand="1"/>
      </w:tblPr>
      <w:tblGrid>
        <w:gridCol w:w="437"/>
        <w:gridCol w:w="5069"/>
        <w:gridCol w:w="736"/>
        <w:gridCol w:w="3392"/>
      </w:tblGrid>
      <w:tr w:rsidR="00582DE2" w:rsidTr="0046063C">
        <w:tc>
          <w:tcPr>
            <w:tcW w:w="963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center"/>
            </w:pPr>
            <w:r>
              <w:rPr>
                <w:rFonts w:ascii="Roboto" w:eastAsia="Calibri" w:hAnsi="Roboto"/>
                <w:b/>
                <w:bCs/>
                <w:sz w:val="18"/>
                <w:szCs w:val="18"/>
              </w:rPr>
              <w:t>INDICATORE DI PROBABILITA’</w:t>
            </w:r>
          </w:p>
        </w:tc>
      </w:tr>
      <w:tr w:rsidR="00582DE2" w:rsidTr="0046063C">
        <w:tc>
          <w:tcPr>
            <w:tcW w:w="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eastAsia="Calibri" w:hAnsi="Roboto"/>
                <w:sz w:val="18"/>
                <w:szCs w:val="18"/>
              </w:rPr>
              <w:t>N.</w:t>
            </w:r>
          </w:p>
        </w:tc>
        <w:tc>
          <w:tcPr>
            <w:tcW w:w="5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eastAsia="Calibri" w:hAnsi="Roboto"/>
                <w:sz w:val="18"/>
                <w:szCs w:val="18"/>
              </w:rPr>
              <w:t>Variabile</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eastAsia="Calibri" w:hAnsi="Roboto"/>
                <w:sz w:val="18"/>
                <w:szCs w:val="18"/>
              </w:rPr>
              <w:t>Livello</w:t>
            </w:r>
          </w:p>
        </w:tc>
        <w:tc>
          <w:tcPr>
            <w:tcW w:w="3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eastAsia="Calibri" w:hAnsi="Roboto"/>
                <w:sz w:val="18"/>
                <w:szCs w:val="18"/>
              </w:rPr>
              <w:t>Descrizione/Motivazione</w:t>
            </w:r>
          </w:p>
        </w:tc>
      </w:tr>
      <w:tr w:rsidR="00582DE2" w:rsidTr="0046063C">
        <w:trPr>
          <w:trHeight w:val="377"/>
        </w:trPr>
        <w:tc>
          <w:tcPr>
            <w:tcW w:w="4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P1</w:t>
            </w:r>
          </w:p>
        </w:tc>
        <w:tc>
          <w:tcPr>
            <w:tcW w:w="50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b/>
                <w:bCs/>
                <w:color w:val="000000"/>
                <w:sz w:val="18"/>
                <w:szCs w:val="18"/>
              </w:rPr>
              <w:t>Discrezionalità</w:t>
            </w:r>
            <w:r>
              <w:rPr>
                <w:rFonts w:ascii="Roboto" w:hAnsi="Roboto"/>
                <w:color w:val="000000"/>
                <w:sz w:val="18"/>
                <w:szCs w:val="18"/>
              </w:rPr>
              <w:t>: focalizza il grado di discrezionalità nelle attività svolte o negli atti prodotti; esprime l’entità del rischio in conseguenza delle responsabilità attribuite e della necessità di dare risposta immediata all’emergenza.</w:t>
            </w:r>
          </w:p>
          <w:p w:rsidR="00582DE2" w:rsidRDefault="00582DE2" w:rsidP="0046063C">
            <w:pPr>
              <w:autoSpaceDE w:val="0"/>
              <w:spacing w:after="200" w:line="288" w:lineRule="auto"/>
              <w:jc w:val="both"/>
              <w:rPr>
                <w:rFonts w:ascii="Roboto" w:hAnsi="Roboto"/>
                <w:i/>
                <w:iCs/>
                <w:color w:val="000000"/>
                <w:sz w:val="18"/>
                <w:szCs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Alto</w:t>
            </w:r>
          </w:p>
          <w:p w:rsidR="00582DE2" w:rsidRDefault="00582DE2" w:rsidP="0046063C">
            <w:pPr>
              <w:autoSpaceDE w:val="0"/>
              <w:spacing w:after="200" w:line="288" w:lineRule="auto"/>
              <w:jc w:val="both"/>
              <w:rPr>
                <w:rFonts w:ascii="Roboto" w:hAnsi="Roboto"/>
                <w:i/>
                <w:iCs/>
                <w:color w:val="000000"/>
                <w:sz w:val="18"/>
                <w:szCs w:val="18"/>
              </w:rPr>
            </w:pPr>
          </w:p>
        </w:tc>
        <w:tc>
          <w:tcPr>
            <w:tcW w:w="3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Ampia discrezionalità relativa sia alla definizione di obiettivi operativi che alle soluzioni organizzative da adottare, necessità di dare risposta immediata all’emergenza.</w:t>
            </w:r>
          </w:p>
        </w:tc>
      </w:tr>
      <w:tr w:rsidR="00582DE2" w:rsidTr="0046063C">
        <w:trPr>
          <w:trHeight w:val="375"/>
        </w:trPr>
        <w:tc>
          <w:tcPr>
            <w:tcW w:w="4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rPr>
                <w:rFonts w:ascii="Roboto" w:hAnsi="Roboto"/>
                <w:i/>
                <w:iCs/>
                <w:color w:val="000000"/>
                <w:sz w:val="18"/>
                <w:szCs w:val="18"/>
              </w:rPr>
            </w:pPr>
          </w:p>
        </w:tc>
        <w:tc>
          <w:tcPr>
            <w:tcW w:w="50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rPr>
                <w:rFonts w:ascii="Roboto" w:hAnsi="Roboto"/>
                <w:b/>
                <w:bCs/>
                <w:i/>
                <w:iCs/>
                <w:color w:val="000000"/>
                <w:sz w:val="18"/>
                <w:szCs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 xml:space="preserve">Medio </w:t>
            </w:r>
          </w:p>
          <w:p w:rsidR="00582DE2" w:rsidRDefault="00582DE2" w:rsidP="0046063C">
            <w:pPr>
              <w:autoSpaceDE w:val="0"/>
              <w:spacing w:after="200" w:line="288" w:lineRule="auto"/>
              <w:jc w:val="both"/>
              <w:rPr>
                <w:rFonts w:ascii="Roboto" w:hAnsi="Roboto"/>
                <w:i/>
                <w:iCs/>
                <w:color w:val="000000"/>
                <w:sz w:val="18"/>
                <w:szCs w:val="18"/>
              </w:rPr>
            </w:pPr>
          </w:p>
        </w:tc>
        <w:tc>
          <w:tcPr>
            <w:tcW w:w="3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Apprezzabile discrezionalità relativa sia alla definizione di obiettivi operativi che alle soluzioni organizzative da adottare, necessità di dare risposta immediata all’emergenza.</w:t>
            </w:r>
          </w:p>
        </w:tc>
      </w:tr>
      <w:tr w:rsidR="00582DE2" w:rsidTr="0046063C">
        <w:trPr>
          <w:trHeight w:val="375"/>
        </w:trPr>
        <w:tc>
          <w:tcPr>
            <w:tcW w:w="4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rPr>
                <w:rFonts w:ascii="Roboto" w:hAnsi="Roboto"/>
                <w:i/>
                <w:iCs/>
                <w:color w:val="000000"/>
                <w:sz w:val="18"/>
                <w:szCs w:val="18"/>
              </w:rPr>
            </w:pPr>
          </w:p>
        </w:tc>
        <w:tc>
          <w:tcPr>
            <w:tcW w:w="50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rPr>
                <w:rFonts w:ascii="Roboto" w:hAnsi="Roboto"/>
                <w:b/>
                <w:bCs/>
                <w:i/>
                <w:iCs/>
                <w:color w:val="000000"/>
                <w:sz w:val="18"/>
                <w:szCs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Basso</w:t>
            </w:r>
          </w:p>
        </w:tc>
        <w:tc>
          <w:tcPr>
            <w:tcW w:w="3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Modesta discrezionalità relativa sia alla definizione di obiettivi operativi che alle soluzioni organizzative da adottare, ed assenza di situazioni di emergenza.</w:t>
            </w:r>
          </w:p>
        </w:tc>
      </w:tr>
      <w:tr w:rsidR="00582DE2" w:rsidTr="0046063C">
        <w:trPr>
          <w:trHeight w:val="322"/>
        </w:trPr>
        <w:tc>
          <w:tcPr>
            <w:tcW w:w="4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P2</w:t>
            </w:r>
          </w:p>
        </w:tc>
        <w:tc>
          <w:tcPr>
            <w:tcW w:w="50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b/>
                <w:bCs/>
                <w:color w:val="000000"/>
                <w:sz w:val="18"/>
                <w:szCs w:val="18"/>
              </w:rPr>
              <w:t>Coerenza operativa</w:t>
            </w:r>
            <w:r>
              <w:rPr>
                <w:rFonts w:ascii="Roboto" w:hAnsi="Roboto"/>
                <w:color w:val="000000"/>
                <w:sz w:val="18"/>
                <w:szCs w:val="18"/>
              </w:rPr>
              <w:t>: coerenza fra le prassi operative sviluppate dalle unità organizzative che svolgono il processo e gli strumenti normativi e di regolamentazione che disciplinano lo stesso.</w:t>
            </w:r>
          </w:p>
          <w:p w:rsidR="00582DE2" w:rsidRDefault="00582DE2" w:rsidP="0046063C">
            <w:pPr>
              <w:autoSpaceDE w:val="0"/>
              <w:spacing w:after="200" w:line="288" w:lineRule="auto"/>
              <w:jc w:val="both"/>
              <w:rPr>
                <w:rFonts w:ascii="Roboto" w:hAnsi="Roboto"/>
                <w:i/>
                <w:iCs/>
                <w:color w:val="000000"/>
                <w:sz w:val="18"/>
                <w:szCs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Alto</w:t>
            </w:r>
          </w:p>
          <w:p w:rsidR="00582DE2" w:rsidRDefault="00582DE2" w:rsidP="0046063C">
            <w:pPr>
              <w:autoSpaceDE w:val="0"/>
              <w:spacing w:after="200" w:line="288" w:lineRule="auto"/>
              <w:jc w:val="both"/>
              <w:rPr>
                <w:rFonts w:ascii="Roboto" w:hAnsi="Roboto"/>
                <w:i/>
                <w:iCs/>
                <w:color w:val="000000"/>
                <w:sz w:val="18"/>
                <w:szCs w:val="18"/>
              </w:rPr>
            </w:pPr>
          </w:p>
          <w:p w:rsidR="00582DE2" w:rsidRDefault="00582DE2" w:rsidP="0046063C">
            <w:pPr>
              <w:autoSpaceDE w:val="0"/>
              <w:spacing w:after="200" w:line="288" w:lineRule="auto"/>
              <w:jc w:val="both"/>
              <w:rPr>
                <w:rFonts w:ascii="Roboto" w:hAnsi="Roboto"/>
                <w:i/>
                <w:iCs/>
                <w:color w:val="000000"/>
                <w:sz w:val="18"/>
                <w:szCs w:val="18"/>
              </w:rPr>
            </w:pPr>
          </w:p>
        </w:tc>
        <w:tc>
          <w:tcPr>
            <w:tcW w:w="3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Il processo è regolato da diverse norme sia di livello nazionale sia di livello regionale che disciplinano singoli aspetti, subisce ripetutamente interventi di riforma, modifica e/o integrazione da parte sia del legislatore nazionale sia di quello regionale, le pronunce del TAR e della Corte dei Conti in materia sono contrastanti. Il processo è svolto da una o più unità operativa.</w:t>
            </w:r>
          </w:p>
        </w:tc>
      </w:tr>
      <w:tr w:rsidR="00582DE2" w:rsidTr="0046063C">
        <w:trPr>
          <w:trHeight w:val="321"/>
        </w:trPr>
        <w:tc>
          <w:tcPr>
            <w:tcW w:w="4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rPr>
                <w:rFonts w:ascii="Roboto" w:hAnsi="Roboto"/>
                <w:i/>
                <w:iCs/>
                <w:color w:val="000000"/>
                <w:sz w:val="18"/>
                <w:szCs w:val="18"/>
              </w:rPr>
            </w:pPr>
          </w:p>
        </w:tc>
        <w:tc>
          <w:tcPr>
            <w:tcW w:w="50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rPr>
                <w:rFonts w:ascii="Roboto" w:hAnsi="Roboto"/>
                <w:b/>
                <w:bCs/>
                <w:i/>
                <w:iCs/>
                <w:color w:val="000000"/>
                <w:sz w:val="18"/>
                <w:szCs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Medio</w:t>
            </w:r>
          </w:p>
          <w:p w:rsidR="00582DE2" w:rsidRDefault="00582DE2" w:rsidP="0046063C">
            <w:pPr>
              <w:autoSpaceDE w:val="0"/>
              <w:spacing w:after="200" w:line="288" w:lineRule="auto"/>
              <w:jc w:val="both"/>
              <w:rPr>
                <w:rFonts w:ascii="Roboto" w:hAnsi="Roboto"/>
                <w:i/>
                <w:iCs/>
                <w:color w:val="000000"/>
                <w:sz w:val="18"/>
                <w:szCs w:val="18"/>
              </w:rPr>
            </w:pPr>
          </w:p>
          <w:p w:rsidR="00582DE2" w:rsidRDefault="00582DE2" w:rsidP="0046063C">
            <w:pPr>
              <w:autoSpaceDE w:val="0"/>
              <w:spacing w:after="200" w:line="288" w:lineRule="auto"/>
              <w:jc w:val="both"/>
              <w:rPr>
                <w:rFonts w:ascii="Roboto" w:hAnsi="Roboto"/>
                <w:i/>
                <w:iCs/>
                <w:color w:val="000000"/>
                <w:sz w:val="18"/>
                <w:szCs w:val="18"/>
              </w:rPr>
            </w:pPr>
          </w:p>
          <w:p w:rsidR="00582DE2" w:rsidRDefault="00582DE2" w:rsidP="0046063C">
            <w:pPr>
              <w:autoSpaceDE w:val="0"/>
              <w:spacing w:after="200" w:line="288" w:lineRule="auto"/>
              <w:jc w:val="both"/>
              <w:rPr>
                <w:rFonts w:ascii="Roboto" w:hAnsi="Roboto"/>
                <w:i/>
                <w:iCs/>
                <w:color w:val="000000"/>
                <w:sz w:val="18"/>
                <w:szCs w:val="18"/>
              </w:rPr>
            </w:pPr>
          </w:p>
        </w:tc>
        <w:tc>
          <w:tcPr>
            <w:tcW w:w="3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Il processo è regolato da diverse norme sia di livello nazionale che disciplinano singoli aspetti, subisce ripetutamente interventi di riforma, modifica e/o integrazione da parte sia del legislatore nazionale sia di quello regionale, le pronunce del TAR e della Corte dei Conti in materia sono contrastanti. Il processo è svolto da una o più unità operativa.</w:t>
            </w:r>
          </w:p>
        </w:tc>
      </w:tr>
      <w:tr w:rsidR="00582DE2" w:rsidTr="0046063C">
        <w:trPr>
          <w:trHeight w:val="321"/>
        </w:trPr>
        <w:tc>
          <w:tcPr>
            <w:tcW w:w="4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rPr>
                <w:rFonts w:ascii="Roboto" w:hAnsi="Roboto"/>
                <w:i/>
                <w:iCs/>
                <w:color w:val="000000"/>
                <w:sz w:val="18"/>
                <w:szCs w:val="18"/>
              </w:rPr>
            </w:pPr>
          </w:p>
        </w:tc>
        <w:tc>
          <w:tcPr>
            <w:tcW w:w="50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rPr>
                <w:rFonts w:ascii="Roboto" w:hAnsi="Roboto"/>
                <w:b/>
                <w:bCs/>
                <w:i/>
                <w:iCs/>
                <w:color w:val="000000"/>
                <w:sz w:val="18"/>
                <w:szCs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Basso</w:t>
            </w:r>
          </w:p>
        </w:tc>
        <w:tc>
          <w:tcPr>
            <w:tcW w:w="3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 xml:space="preserve">La normativa che regola il processo è puntuale, è di livello nazionale, non subisce interventi di riforma, modifica e/o integrazione ripetuti da parte del legislatore, le pronunce del TAR e della Corte dei Conti </w:t>
            </w:r>
            <w:r>
              <w:rPr>
                <w:rFonts w:ascii="Roboto" w:hAnsi="Roboto"/>
                <w:color w:val="000000"/>
                <w:sz w:val="18"/>
                <w:szCs w:val="18"/>
              </w:rPr>
              <w:lastRenderedPageBreak/>
              <w:t>in materia sono uniformi. Il processo è svolto da un’unica unità operativa.</w:t>
            </w:r>
          </w:p>
        </w:tc>
      </w:tr>
      <w:tr w:rsidR="00582DE2" w:rsidTr="0046063C">
        <w:trPr>
          <w:trHeight w:val="217"/>
        </w:trPr>
        <w:tc>
          <w:tcPr>
            <w:tcW w:w="4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lastRenderedPageBreak/>
              <w:t>P3</w:t>
            </w:r>
          </w:p>
        </w:tc>
        <w:tc>
          <w:tcPr>
            <w:tcW w:w="50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b/>
                <w:bCs/>
                <w:color w:val="000000"/>
                <w:sz w:val="18"/>
                <w:szCs w:val="18"/>
              </w:rPr>
              <w:t xml:space="preserve">Rilevanza degli interessi “esterni” </w:t>
            </w:r>
            <w:r>
              <w:rPr>
                <w:rFonts w:ascii="Roboto" w:hAnsi="Roboto"/>
                <w:color w:val="000000"/>
                <w:sz w:val="18"/>
                <w:szCs w:val="18"/>
              </w:rPr>
              <w:t>quantificati in termini di entità del beneficio economico e non ottenibile dai soggetti destinatari del processo.</w:t>
            </w:r>
          </w:p>
          <w:p w:rsidR="00582DE2" w:rsidRDefault="00582DE2" w:rsidP="0046063C">
            <w:pPr>
              <w:autoSpaceDE w:val="0"/>
              <w:spacing w:after="200" w:line="288" w:lineRule="auto"/>
              <w:jc w:val="both"/>
              <w:rPr>
                <w:rFonts w:ascii="Roboto" w:hAnsi="Roboto"/>
                <w:b/>
                <w:bCs/>
                <w:i/>
                <w:iCs/>
                <w:color w:val="000000"/>
                <w:sz w:val="18"/>
                <w:szCs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Alto</w:t>
            </w:r>
          </w:p>
          <w:p w:rsidR="00582DE2" w:rsidRDefault="00582DE2" w:rsidP="0046063C">
            <w:pPr>
              <w:autoSpaceDE w:val="0"/>
              <w:spacing w:after="200" w:line="288" w:lineRule="auto"/>
              <w:jc w:val="both"/>
              <w:rPr>
                <w:rFonts w:ascii="Roboto" w:hAnsi="Roboto"/>
                <w:i/>
                <w:iCs/>
                <w:color w:val="000000"/>
                <w:sz w:val="18"/>
                <w:szCs w:val="18"/>
              </w:rPr>
            </w:pPr>
          </w:p>
        </w:tc>
        <w:tc>
          <w:tcPr>
            <w:tcW w:w="3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Il processo dà luogo a consistenti benefici economici o di altra natura per i destinatari.</w:t>
            </w:r>
          </w:p>
        </w:tc>
      </w:tr>
      <w:tr w:rsidR="00582DE2" w:rsidTr="0046063C">
        <w:trPr>
          <w:trHeight w:val="217"/>
        </w:trPr>
        <w:tc>
          <w:tcPr>
            <w:tcW w:w="4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rPr>
                <w:rFonts w:ascii="Roboto" w:hAnsi="Roboto"/>
                <w:i/>
                <w:iCs/>
                <w:color w:val="000000"/>
                <w:sz w:val="18"/>
                <w:szCs w:val="18"/>
              </w:rPr>
            </w:pPr>
          </w:p>
        </w:tc>
        <w:tc>
          <w:tcPr>
            <w:tcW w:w="50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rPr>
                <w:rFonts w:ascii="Roboto" w:hAnsi="Roboto"/>
                <w:b/>
                <w:bCs/>
                <w:i/>
                <w:iCs/>
                <w:color w:val="000000"/>
                <w:sz w:val="18"/>
                <w:szCs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Medio</w:t>
            </w:r>
          </w:p>
          <w:p w:rsidR="00582DE2" w:rsidRDefault="00582DE2" w:rsidP="0046063C">
            <w:pPr>
              <w:autoSpaceDE w:val="0"/>
              <w:spacing w:after="200" w:line="288" w:lineRule="auto"/>
              <w:jc w:val="both"/>
              <w:rPr>
                <w:rFonts w:ascii="Roboto" w:hAnsi="Roboto"/>
                <w:i/>
                <w:iCs/>
                <w:color w:val="000000"/>
                <w:sz w:val="18"/>
                <w:szCs w:val="18"/>
              </w:rPr>
            </w:pPr>
          </w:p>
        </w:tc>
        <w:tc>
          <w:tcPr>
            <w:tcW w:w="3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 xml:space="preserve">Il processo dà luogo a modesti benefici economici o di altra natura per i destinatari </w:t>
            </w:r>
          </w:p>
        </w:tc>
      </w:tr>
      <w:tr w:rsidR="00582DE2" w:rsidTr="0046063C">
        <w:trPr>
          <w:trHeight w:val="217"/>
        </w:trPr>
        <w:tc>
          <w:tcPr>
            <w:tcW w:w="4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rPr>
                <w:rFonts w:ascii="Roboto" w:hAnsi="Roboto"/>
                <w:i/>
                <w:iCs/>
                <w:color w:val="000000"/>
                <w:sz w:val="18"/>
                <w:szCs w:val="18"/>
              </w:rPr>
            </w:pPr>
          </w:p>
        </w:tc>
        <w:tc>
          <w:tcPr>
            <w:tcW w:w="50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rPr>
                <w:rFonts w:ascii="Roboto" w:hAnsi="Roboto"/>
                <w:b/>
                <w:bCs/>
                <w:i/>
                <w:iCs/>
                <w:color w:val="000000"/>
                <w:sz w:val="18"/>
                <w:szCs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Basso</w:t>
            </w:r>
          </w:p>
        </w:tc>
        <w:tc>
          <w:tcPr>
            <w:tcW w:w="3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Il processo dà luogo a benefici economici o di altra natura per i destinatari con impatto scarso o irrilevante.</w:t>
            </w:r>
          </w:p>
        </w:tc>
      </w:tr>
      <w:tr w:rsidR="00582DE2" w:rsidTr="0046063C">
        <w:trPr>
          <w:trHeight w:val="485"/>
        </w:trPr>
        <w:tc>
          <w:tcPr>
            <w:tcW w:w="4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P4</w:t>
            </w:r>
          </w:p>
        </w:tc>
        <w:tc>
          <w:tcPr>
            <w:tcW w:w="50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b/>
                <w:bCs/>
                <w:color w:val="000000"/>
                <w:sz w:val="18"/>
                <w:szCs w:val="18"/>
              </w:rPr>
              <w:t xml:space="preserve">Livello di opacità del processo, </w:t>
            </w:r>
            <w:r>
              <w:rPr>
                <w:rFonts w:ascii="Roboto" w:hAnsi="Roboto"/>
                <w:color w:val="000000"/>
                <w:sz w:val="18"/>
                <w:szCs w:val="18"/>
              </w:rPr>
              <w:t>misurato attraverso la verifica dell’adozione di strumenti di trasparenza sostanziale e non solo formale</w:t>
            </w:r>
          </w:p>
          <w:p w:rsidR="00582DE2" w:rsidRDefault="00582DE2" w:rsidP="0046063C">
            <w:pPr>
              <w:autoSpaceDE w:val="0"/>
              <w:spacing w:after="200" w:line="288" w:lineRule="auto"/>
              <w:jc w:val="both"/>
              <w:rPr>
                <w:rFonts w:ascii="Roboto" w:hAnsi="Roboto"/>
                <w:i/>
                <w:iCs/>
                <w:color w:val="000000"/>
                <w:sz w:val="18"/>
                <w:szCs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Alto</w:t>
            </w:r>
          </w:p>
          <w:p w:rsidR="00582DE2" w:rsidRDefault="00582DE2" w:rsidP="0046063C">
            <w:pPr>
              <w:autoSpaceDE w:val="0"/>
              <w:spacing w:after="200" w:line="288" w:lineRule="auto"/>
              <w:jc w:val="both"/>
              <w:rPr>
                <w:rFonts w:ascii="Roboto" w:hAnsi="Roboto"/>
                <w:i/>
                <w:iCs/>
                <w:color w:val="000000"/>
                <w:sz w:val="18"/>
                <w:szCs w:val="18"/>
              </w:rPr>
            </w:pPr>
          </w:p>
          <w:p w:rsidR="00582DE2" w:rsidRDefault="00582DE2" w:rsidP="0046063C">
            <w:pPr>
              <w:autoSpaceDE w:val="0"/>
              <w:spacing w:after="200" w:line="288" w:lineRule="auto"/>
              <w:jc w:val="both"/>
              <w:rPr>
                <w:rFonts w:ascii="Roboto" w:hAnsi="Roboto"/>
                <w:i/>
                <w:iCs/>
                <w:color w:val="000000"/>
                <w:sz w:val="18"/>
                <w:szCs w:val="18"/>
              </w:rPr>
            </w:pPr>
          </w:p>
          <w:p w:rsidR="00582DE2" w:rsidRDefault="00582DE2" w:rsidP="0046063C">
            <w:pPr>
              <w:autoSpaceDE w:val="0"/>
              <w:spacing w:after="200" w:line="288" w:lineRule="auto"/>
              <w:jc w:val="both"/>
              <w:rPr>
                <w:rFonts w:ascii="Roboto" w:hAnsi="Roboto"/>
                <w:i/>
                <w:iCs/>
                <w:color w:val="000000"/>
                <w:sz w:val="18"/>
                <w:szCs w:val="18"/>
              </w:rPr>
            </w:pPr>
          </w:p>
        </w:tc>
        <w:tc>
          <w:tcPr>
            <w:tcW w:w="3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Nel processo non è prevista l’adozione di nessun strumento di trasparenza sostanziale</w:t>
            </w:r>
          </w:p>
        </w:tc>
      </w:tr>
      <w:tr w:rsidR="00582DE2" w:rsidTr="0046063C">
        <w:trPr>
          <w:trHeight w:val="484"/>
        </w:trPr>
        <w:tc>
          <w:tcPr>
            <w:tcW w:w="4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rPr>
                <w:rFonts w:ascii="Roboto" w:hAnsi="Roboto"/>
                <w:i/>
                <w:iCs/>
                <w:color w:val="000000"/>
                <w:sz w:val="18"/>
                <w:szCs w:val="18"/>
              </w:rPr>
            </w:pPr>
          </w:p>
        </w:tc>
        <w:tc>
          <w:tcPr>
            <w:tcW w:w="50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rPr>
                <w:rFonts w:ascii="Roboto" w:hAnsi="Roboto"/>
                <w:b/>
                <w:bCs/>
                <w:i/>
                <w:iCs/>
                <w:color w:val="000000"/>
                <w:sz w:val="18"/>
                <w:szCs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Medio</w:t>
            </w:r>
          </w:p>
          <w:p w:rsidR="00582DE2" w:rsidRDefault="00582DE2" w:rsidP="0046063C">
            <w:pPr>
              <w:autoSpaceDE w:val="0"/>
              <w:spacing w:after="200" w:line="288" w:lineRule="auto"/>
              <w:jc w:val="both"/>
              <w:rPr>
                <w:rFonts w:ascii="Roboto" w:hAnsi="Roboto"/>
                <w:i/>
                <w:iCs/>
                <w:color w:val="000000"/>
                <w:sz w:val="18"/>
                <w:szCs w:val="18"/>
              </w:rPr>
            </w:pPr>
          </w:p>
          <w:p w:rsidR="00582DE2" w:rsidRDefault="00582DE2" w:rsidP="0046063C">
            <w:pPr>
              <w:autoSpaceDE w:val="0"/>
              <w:spacing w:after="200" w:line="288" w:lineRule="auto"/>
              <w:jc w:val="both"/>
              <w:rPr>
                <w:rFonts w:ascii="Roboto" w:hAnsi="Roboto"/>
                <w:i/>
                <w:iCs/>
                <w:color w:val="000000"/>
                <w:sz w:val="18"/>
                <w:szCs w:val="18"/>
              </w:rPr>
            </w:pPr>
          </w:p>
          <w:p w:rsidR="00582DE2" w:rsidRDefault="00582DE2" w:rsidP="0046063C">
            <w:pPr>
              <w:autoSpaceDE w:val="0"/>
              <w:spacing w:after="200" w:line="288" w:lineRule="auto"/>
              <w:jc w:val="both"/>
              <w:rPr>
                <w:rFonts w:ascii="Roboto" w:hAnsi="Roboto"/>
                <w:i/>
                <w:iCs/>
                <w:color w:val="000000"/>
                <w:sz w:val="18"/>
                <w:szCs w:val="18"/>
              </w:rPr>
            </w:pPr>
          </w:p>
        </w:tc>
        <w:tc>
          <w:tcPr>
            <w:tcW w:w="3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Nel processo è prevista in parte l’adozione strumenti di trasparenza sostanziale</w:t>
            </w:r>
          </w:p>
        </w:tc>
      </w:tr>
      <w:tr w:rsidR="00582DE2" w:rsidTr="0046063C">
        <w:trPr>
          <w:trHeight w:val="484"/>
        </w:trPr>
        <w:tc>
          <w:tcPr>
            <w:tcW w:w="4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rPr>
                <w:rFonts w:ascii="Roboto" w:hAnsi="Roboto"/>
                <w:i/>
                <w:iCs/>
                <w:color w:val="000000"/>
                <w:sz w:val="18"/>
                <w:szCs w:val="18"/>
              </w:rPr>
            </w:pPr>
          </w:p>
        </w:tc>
        <w:tc>
          <w:tcPr>
            <w:tcW w:w="50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rPr>
                <w:rFonts w:ascii="Roboto" w:hAnsi="Roboto"/>
                <w:b/>
                <w:bCs/>
                <w:i/>
                <w:iCs/>
                <w:color w:val="000000"/>
                <w:sz w:val="18"/>
                <w:szCs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Basso</w:t>
            </w:r>
          </w:p>
          <w:p w:rsidR="00582DE2" w:rsidRDefault="00582DE2" w:rsidP="0046063C">
            <w:pPr>
              <w:autoSpaceDE w:val="0"/>
              <w:spacing w:after="200" w:line="288" w:lineRule="auto"/>
              <w:jc w:val="both"/>
              <w:rPr>
                <w:rFonts w:ascii="Roboto" w:hAnsi="Roboto"/>
                <w:b/>
                <w:bCs/>
                <w:i/>
                <w:iCs/>
                <w:color w:val="000000"/>
                <w:sz w:val="18"/>
                <w:szCs w:val="18"/>
              </w:rPr>
            </w:pPr>
          </w:p>
        </w:tc>
        <w:tc>
          <w:tcPr>
            <w:tcW w:w="3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Nel processo è prevista l’adozione di strumenti di trasparenza sostanziale</w:t>
            </w:r>
          </w:p>
        </w:tc>
      </w:tr>
      <w:tr w:rsidR="00582DE2" w:rsidTr="0046063C">
        <w:trPr>
          <w:trHeight w:val="430"/>
        </w:trPr>
        <w:tc>
          <w:tcPr>
            <w:tcW w:w="4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P5</w:t>
            </w:r>
          </w:p>
        </w:tc>
        <w:tc>
          <w:tcPr>
            <w:tcW w:w="50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b/>
                <w:bCs/>
                <w:color w:val="000000"/>
                <w:sz w:val="18"/>
                <w:szCs w:val="18"/>
              </w:rPr>
              <w:t xml:space="preserve">Presenza di “eventi sentinella” </w:t>
            </w:r>
            <w:r>
              <w:rPr>
                <w:rFonts w:ascii="Roboto" w:hAnsi="Roboto"/>
                <w:color w:val="000000"/>
                <w:sz w:val="18"/>
                <w:szCs w:val="18"/>
              </w:rPr>
              <w:t>per il processo, ovvero procedimenti avviati dall’autorità giudiziaria o contabile o ricorsi amministrativi nei confronti dell’Ente o procedimenti disciplinari avviati nei confronti dei dipendenti impiegati sul processo in esame</w:t>
            </w:r>
          </w:p>
          <w:p w:rsidR="00582DE2" w:rsidRDefault="00582DE2" w:rsidP="0046063C">
            <w:pPr>
              <w:autoSpaceDE w:val="0"/>
              <w:spacing w:after="200" w:line="288" w:lineRule="auto"/>
              <w:jc w:val="both"/>
              <w:rPr>
                <w:rFonts w:ascii="Roboto" w:hAnsi="Roboto"/>
                <w:i/>
                <w:iCs/>
                <w:color w:val="000000"/>
                <w:sz w:val="18"/>
                <w:szCs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Alto</w:t>
            </w:r>
          </w:p>
        </w:tc>
        <w:tc>
          <w:tcPr>
            <w:tcW w:w="3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Un procedimento avviato dall’autorità giudiziaria o contabile o amministrativa e/o un procedimento disciplinare avviato nei confronti di un dipendente impiegato sul processo in esame, concluso con una sanzione indipendentemente dalla conclusione dello stesso, nell’ultimo anno.</w:t>
            </w:r>
          </w:p>
        </w:tc>
      </w:tr>
      <w:tr w:rsidR="00582DE2" w:rsidTr="0046063C">
        <w:trPr>
          <w:trHeight w:val="430"/>
        </w:trPr>
        <w:tc>
          <w:tcPr>
            <w:tcW w:w="4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rPr>
                <w:rFonts w:ascii="Roboto" w:hAnsi="Roboto"/>
                <w:i/>
                <w:iCs/>
                <w:color w:val="000000"/>
                <w:sz w:val="18"/>
                <w:szCs w:val="18"/>
              </w:rPr>
            </w:pPr>
          </w:p>
        </w:tc>
        <w:tc>
          <w:tcPr>
            <w:tcW w:w="50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rPr>
                <w:rFonts w:ascii="Roboto" w:hAnsi="Roboto"/>
                <w:b/>
                <w:bCs/>
                <w:i/>
                <w:iCs/>
                <w:color w:val="000000"/>
                <w:sz w:val="18"/>
                <w:szCs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Medio</w:t>
            </w:r>
          </w:p>
        </w:tc>
        <w:tc>
          <w:tcPr>
            <w:tcW w:w="3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Un procedimento avviato dall’autorità giudiziaria o contabile o amministrativa e/o un procedimento disciplinare avviato nei confronti di un dipendente impiegato sul processo in esame, concluso con una sanzione indipendentemente dalla conclusione dello stesso, negli ultimi tre anni.</w:t>
            </w:r>
          </w:p>
        </w:tc>
      </w:tr>
      <w:tr w:rsidR="00582DE2" w:rsidTr="0046063C">
        <w:trPr>
          <w:trHeight w:val="430"/>
        </w:trPr>
        <w:tc>
          <w:tcPr>
            <w:tcW w:w="4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rPr>
                <w:rFonts w:ascii="Roboto" w:hAnsi="Roboto"/>
                <w:i/>
                <w:iCs/>
                <w:color w:val="000000"/>
                <w:sz w:val="18"/>
                <w:szCs w:val="18"/>
              </w:rPr>
            </w:pPr>
          </w:p>
        </w:tc>
        <w:tc>
          <w:tcPr>
            <w:tcW w:w="50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rPr>
                <w:rFonts w:ascii="Roboto" w:hAnsi="Roboto"/>
                <w:b/>
                <w:bCs/>
                <w:i/>
                <w:iCs/>
                <w:color w:val="000000"/>
                <w:sz w:val="18"/>
                <w:szCs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Basso</w:t>
            </w:r>
          </w:p>
          <w:p w:rsidR="00582DE2" w:rsidRDefault="00582DE2" w:rsidP="0046063C">
            <w:pPr>
              <w:autoSpaceDE w:val="0"/>
              <w:spacing w:after="200" w:line="288" w:lineRule="auto"/>
              <w:jc w:val="both"/>
              <w:rPr>
                <w:rFonts w:ascii="Roboto" w:hAnsi="Roboto"/>
                <w:b/>
                <w:bCs/>
                <w:i/>
                <w:iCs/>
                <w:color w:val="000000"/>
                <w:sz w:val="18"/>
                <w:szCs w:val="18"/>
              </w:rPr>
            </w:pPr>
          </w:p>
        </w:tc>
        <w:tc>
          <w:tcPr>
            <w:tcW w:w="3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 xml:space="preserve">Nessun procedimento avviato dall’autorità giudiziaria o contabile o amministrativa nei confronti dell’Ente e nessun procedimento disciplinare nei confronti dei dipendenti </w:t>
            </w:r>
            <w:r>
              <w:rPr>
                <w:rFonts w:ascii="Roboto" w:hAnsi="Roboto"/>
                <w:color w:val="000000"/>
                <w:sz w:val="18"/>
                <w:szCs w:val="18"/>
              </w:rPr>
              <w:lastRenderedPageBreak/>
              <w:t>impiegati sul processo in esame, negli ultimi tre anni.</w:t>
            </w:r>
          </w:p>
        </w:tc>
      </w:tr>
      <w:tr w:rsidR="00582DE2" w:rsidTr="0046063C">
        <w:trPr>
          <w:trHeight w:val="322"/>
        </w:trPr>
        <w:tc>
          <w:tcPr>
            <w:tcW w:w="4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lastRenderedPageBreak/>
              <w:t>P6</w:t>
            </w:r>
          </w:p>
        </w:tc>
        <w:tc>
          <w:tcPr>
            <w:tcW w:w="50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b/>
                <w:bCs/>
                <w:color w:val="000000"/>
                <w:sz w:val="18"/>
                <w:szCs w:val="18"/>
              </w:rPr>
              <w:t xml:space="preserve">Livello di attuazione delle misure di prevenzione sia generali sia specifiche previste dal PTPCT per il processo </w:t>
            </w:r>
            <w:r>
              <w:rPr>
                <w:rFonts w:ascii="Roboto" w:hAnsi="Roboto"/>
                <w:color w:val="000000"/>
                <w:sz w:val="18"/>
                <w:szCs w:val="18"/>
              </w:rPr>
              <w:t>desunte dai monitoraggi effettuati dai responsabili del processo.</w:t>
            </w:r>
          </w:p>
          <w:p w:rsidR="00582DE2" w:rsidRDefault="00582DE2" w:rsidP="0046063C">
            <w:pPr>
              <w:autoSpaceDE w:val="0"/>
              <w:spacing w:after="200" w:line="288" w:lineRule="auto"/>
              <w:jc w:val="both"/>
              <w:rPr>
                <w:rFonts w:ascii="Roboto" w:hAnsi="Roboto"/>
                <w:b/>
                <w:bCs/>
                <w:i/>
                <w:iCs/>
                <w:color w:val="000000"/>
                <w:sz w:val="18"/>
                <w:szCs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Alto</w:t>
            </w:r>
          </w:p>
          <w:p w:rsidR="00582DE2" w:rsidRDefault="00582DE2" w:rsidP="0046063C">
            <w:pPr>
              <w:autoSpaceDE w:val="0"/>
              <w:spacing w:after="200" w:line="288" w:lineRule="auto"/>
              <w:jc w:val="both"/>
              <w:rPr>
                <w:rFonts w:ascii="Roboto" w:hAnsi="Roboto"/>
                <w:i/>
                <w:iCs/>
                <w:color w:val="000000"/>
                <w:sz w:val="18"/>
                <w:szCs w:val="18"/>
              </w:rPr>
            </w:pPr>
          </w:p>
          <w:p w:rsidR="00582DE2" w:rsidRDefault="00582DE2" w:rsidP="0046063C">
            <w:pPr>
              <w:autoSpaceDE w:val="0"/>
              <w:spacing w:after="200" w:line="288" w:lineRule="auto"/>
              <w:jc w:val="both"/>
              <w:rPr>
                <w:rFonts w:ascii="Roboto" w:hAnsi="Roboto"/>
                <w:i/>
                <w:iCs/>
                <w:color w:val="000000"/>
                <w:sz w:val="18"/>
                <w:szCs w:val="18"/>
              </w:rPr>
            </w:pPr>
          </w:p>
        </w:tc>
        <w:tc>
          <w:tcPr>
            <w:tcW w:w="3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Il responsabile ha effettuato il monitoraggio con consistente ritardo, non fornendo elementi a supporto dello stato di attuazione delle misure dichiarato e trasmettendo in ritardo le integrazioni richieste.</w:t>
            </w:r>
          </w:p>
        </w:tc>
      </w:tr>
      <w:tr w:rsidR="00582DE2" w:rsidTr="0046063C">
        <w:trPr>
          <w:trHeight w:val="321"/>
        </w:trPr>
        <w:tc>
          <w:tcPr>
            <w:tcW w:w="4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rPr>
                <w:rFonts w:ascii="Roboto" w:hAnsi="Roboto"/>
                <w:i/>
                <w:iCs/>
                <w:color w:val="000000"/>
                <w:sz w:val="18"/>
                <w:szCs w:val="18"/>
              </w:rPr>
            </w:pPr>
          </w:p>
        </w:tc>
        <w:tc>
          <w:tcPr>
            <w:tcW w:w="50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rPr>
                <w:rFonts w:ascii="Roboto" w:hAnsi="Roboto"/>
                <w:b/>
                <w:bCs/>
                <w:i/>
                <w:iCs/>
                <w:color w:val="000000"/>
                <w:sz w:val="18"/>
                <w:szCs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Medio</w:t>
            </w:r>
          </w:p>
          <w:p w:rsidR="00582DE2" w:rsidRDefault="00582DE2" w:rsidP="0046063C">
            <w:pPr>
              <w:autoSpaceDE w:val="0"/>
              <w:spacing w:after="200" w:line="288" w:lineRule="auto"/>
              <w:jc w:val="both"/>
              <w:rPr>
                <w:rFonts w:ascii="Roboto" w:hAnsi="Roboto"/>
                <w:i/>
                <w:iCs/>
                <w:color w:val="000000"/>
                <w:sz w:val="18"/>
                <w:szCs w:val="18"/>
              </w:rPr>
            </w:pPr>
          </w:p>
          <w:p w:rsidR="00582DE2" w:rsidRDefault="00582DE2" w:rsidP="0046063C">
            <w:pPr>
              <w:autoSpaceDE w:val="0"/>
              <w:spacing w:after="200" w:line="288" w:lineRule="auto"/>
              <w:jc w:val="both"/>
              <w:rPr>
                <w:rFonts w:ascii="Roboto" w:hAnsi="Roboto"/>
                <w:i/>
                <w:iCs/>
                <w:color w:val="000000"/>
                <w:sz w:val="18"/>
                <w:szCs w:val="18"/>
              </w:rPr>
            </w:pPr>
          </w:p>
        </w:tc>
        <w:tc>
          <w:tcPr>
            <w:tcW w:w="3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Il responsabile ha effettuato il monitoraggio con lieve ritardo, non fornendo elementi a supporto dello stato di attuazione delle misure dichiarato e trasmettendo in ritardo le integrazioni richieste.</w:t>
            </w:r>
          </w:p>
        </w:tc>
      </w:tr>
      <w:tr w:rsidR="00582DE2" w:rsidTr="0046063C">
        <w:trPr>
          <w:trHeight w:val="321"/>
        </w:trPr>
        <w:tc>
          <w:tcPr>
            <w:tcW w:w="4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rPr>
                <w:rFonts w:ascii="Roboto" w:hAnsi="Roboto"/>
                <w:i/>
                <w:iCs/>
                <w:color w:val="000000"/>
                <w:sz w:val="18"/>
                <w:szCs w:val="18"/>
              </w:rPr>
            </w:pPr>
          </w:p>
        </w:tc>
        <w:tc>
          <w:tcPr>
            <w:tcW w:w="50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rPr>
                <w:rFonts w:ascii="Roboto" w:hAnsi="Roboto"/>
                <w:b/>
                <w:bCs/>
                <w:i/>
                <w:iCs/>
                <w:color w:val="000000"/>
                <w:sz w:val="18"/>
                <w:szCs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Basso</w:t>
            </w:r>
          </w:p>
        </w:tc>
        <w:tc>
          <w:tcPr>
            <w:tcW w:w="3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Il responsabile ha effettuato il monitoraggio puntualmente, dimostrando in maniera esaustiva attraverso documenti e informazioni circostanziate l’attuazione delle misure.</w:t>
            </w:r>
          </w:p>
        </w:tc>
      </w:tr>
    </w:tbl>
    <w:p w:rsidR="00582DE2" w:rsidRDefault="00582DE2" w:rsidP="00582DE2">
      <w:pPr>
        <w:autoSpaceDE w:val="0"/>
        <w:rPr>
          <w:rFonts w:ascii="Roboto" w:hAnsi="Roboto"/>
          <w:i/>
          <w:iCs/>
          <w:color w:val="000000"/>
        </w:rPr>
      </w:pPr>
    </w:p>
    <w:p w:rsidR="00582DE2" w:rsidRDefault="00582DE2" w:rsidP="00582DE2">
      <w:pPr>
        <w:autoSpaceDE w:val="0"/>
        <w:rPr>
          <w:rFonts w:ascii="Roboto" w:hAnsi="Roboto"/>
          <w:i/>
          <w:iCs/>
          <w:color w:val="000000"/>
        </w:rPr>
      </w:pPr>
    </w:p>
    <w:tbl>
      <w:tblPr>
        <w:tblW w:w="9628" w:type="dxa"/>
        <w:tblCellMar>
          <w:left w:w="10" w:type="dxa"/>
          <w:right w:w="10" w:type="dxa"/>
        </w:tblCellMar>
        <w:tblLook w:val="04A0" w:firstRow="1" w:lastRow="0" w:firstColumn="1" w:lastColumn="0" w:noHBand="0" w:noVBand="1"/>
      </w:tblPr>
      <w:tblGrid>
        <w:gridCol w:w="600"/>
        <w:gridCol w:w="4910"/>
        <w:gridCol w:w="736"/>
        <w:gridCol w:w="3382"/>
      </w:tblGrid>
      <w:tr w:rsidR="00582DE2" w:rsidTr="0046063C">
        <w:tc>
          <w:tcPr>
            <w:tcW w:w="96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center"/>
            </w:pPr>
            <w:r>
              <w:rPr>
                <w:rFonts w:ascii="Roboto" w:hAnsi="Roboto"/>
                <w:b/>
                <w:bCs/>
                <w:color w:val="000000"/>
                <w:sz w:val="18"/>
                <w:szCs w:val="18"/>
              </w:rPr>
              <w:t>INDICATORE DI IMPATTO</w:t>
            </w:r>
          </w:p>
        </w:tc>
      </w:tr>
      <w:tr w:rsidR="00582DE2" w:rsidTr="0046063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pPr>
            <w:r>
              <w:rPr>
                <w:rFonts w:ascii="Roboto" w:hAnsi="Roboto"/>
                <w:color w:val="000000"/>
                <w:sz w:val="18"/>
                <w:szCs w:val="18"/>
              </w:rPr>
              <w:t xml:space="preserve">N. </w:t>
            </w:r>
          </w:p>
        </w:tc>
        <w:tc>
          <w:tcPr>
            <w:tcW w:w="4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pPr>
            <w:r>
              <w:rPr>
                <w:rFonts w:ascii="Roboto" w:hAnsi="Roboto"/>
                <w:color w:val="000000"/>
                <w:sz w:val="18"/>
                <w:szCs w:val="18"/>
              </w:rPr>
              <w:t>Variabile</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pPr>
            <w:r>
              <w:rPr>
                <w:rFonts w:ascii="Roboto" w:hAnsi="Roboto"/>
                <w:color w:val="000000"/>
                <w:sz w:val="18"/>
                <w:szCs w:val="18"/>
              </w:rPr>
              <w:t>Livello</w:t>
            </w:r>
          </w:p>
        </w:tc>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pPr>
            <w:r>
              <w:rPr>
                <w:rFonts w:ascii="Roboto" w:hAnsi="Roboto"/>
                <w:color w:val="000000"/>
                <w:sz w:val="18"/>
                <w:szCs w:val="18"/>
              </w:rPr>
              <w:t>Descrizione</w:t>
            </w:r>
          </w:p>
        </w:tc>
      </w:tr>
      <w:tr w:rsidR="00582DE2" w:rsidTr="0046063C">
        <w:trPr>
          <w:trHeight w:val="485"/>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pPr>
            <w:r>
              <w:rPr>
                <w:rFonts w:ascii="Roboto" w:hAnsi="Roboto"/>
                <w:color w:val="000000"/>
                <w:sz w:val="18"/>
                <w:szCs w:val="18"/>
              </w:rPr>
              <w:t>I1</w:t>
            </w:r>
          </w:p>
        </w:tc>
        <w:tc>
          <w:tcPr>
            <w:tcW w:w="49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tabs>
                <w:tab w:val="left" w:pos="914"/>
              </w:tabs>
              <w:autoSpaceDE w:val="0"/>
              <w:spacing w:after="200"/>
              <w:jc w:val="both"/>
            </w:pPr>
            <w:r>
              <w:rPr>
                <w:rFonts w:ascii="Roboto" w:hAnsi="Roboto"/>
                <w:b/>
                <w:bCs/>
                <w:color w:val="000000"/>
                <w:sz w:val="18"/>
                <w:szCs w:val="18"/>
              </w:rPr>
              <w:t xml:space="preserve">Impatto sull’immagine dell’Ente </w:t>
            </w:r>
            <w:r>
              <w:rPr>
                <w:rFonts w:ascii="Roboto" w:hAnsi="Roboto"/>
                <w:color w:val="000000"/>
                <w:sz w:val="18"/>
                <w:szCs w:val="18"/>
              </w:rPr>
              <w:t xml:space="preserve">misurato attraverso il numero di articoli di giornale pubblicati sulla stampa locale o nazionale o dal numero di servizi radio-televisivi trasmessi, che hanno riguardato episodi di cattiva amministrazione, scarsa qualità dei servizi o corruzione </w:t>
            </w:r>
            <w:r>
              <w:rPr>
                <w:rFonts w:ascii="Roboto" w:hAnsi="Roboto"/>
                <w:b/>
                <w:bCs/>
                <w:color w:val="000000"/>
                <w:sz w:val="18"/>
                <w:szCs w:val="18"/>
              </w:rPr>
              <w:t>e/o comunque considerato il possibile impatto che il verificarsi del rischio avrebbe in termini di immagine.</w:t>
            </w:r>
          </w:p>
          <w:p w:rsidR="00582DE2" w:rsidRDefault="00582DE2" w:rsidP="0046063C">
            <w:pPr>
              <w:tabs>
                <w:tab w:val="left" w:pos="914"/>
              </w:tabs>
              <w:autoSpaceDE w:val="0"/>
              <w:spacing w:after="200"/>
              <w:jc w:val="both"/>
              <w:rPr>
                <w:rFonts w:ascii="Roboto" w:hAnsi="Roboto"/>
                <w:b/>
                <w:bCs/>
                <w:i/>
                <w:iCs/>
                <w:color w:val="000000"/>
                <w:sz w:val="18"/>
                <w:szCs w:val="18"/>
              </w:rPr>
            </w:pPr>
          </w:p>
          <w:p w:rsidR="00582DE2" w:rsidRDefault="00582DE2" w:rsidP="0046063C">
            <w:pPr>
              <w:tabs>
                <w:tab w:val="left" w:pos="914"/>
              </w:tabs>
              <w:autoSpaceDE w:val="0"/>
              <w:spacing w:after="200"/>
              <w:jc w:val="both"/>
            </w:pPr>
            <w:r>
              <w:rPr>
                <w:rFonts w:ascii="Roboto" w:hAnsi="Roboto"/>
                <w:color w:val="000000"/>
                <w:sz w:val="18"/>
                <w:szCs w:val="18"/>
              </w:rPr>
              <w:t>In ogni caso, la presente variabile va contemperata con l’</w:t>
            </w:r>
            <w:r>
              <w:rPr>
                <w:rFonts w:ascii="Roboto" w:hAnsi="Roboto"/>
                <w:b/>
                <w:bCs/>
                <w:color w:val="000000"/>
                <w:sz w:val="18"/>
                <w:szCs w:val="18"/>
              </w:rPr>
              <w:t>impatto stimato sull’immagine dell’amministrazione</w:t>
            </w:r>
            <w:r>
              <w:rPr>
                <w:rFonts w:ascii="Roboto" w:hAnsi="Roboto"/>
                <w:color w:val="000000"/>
                <w:sz w:val="18"/>
                <w:szCs w:val="18"/>
              </w:rPr>
              <w:t>.</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pPr>
            <w:r>
              <w:rPr>
                <w:rFonts w:ascii="Roboto" w:hAnsi="Roboto"/>
                <w:color w:val="000000"/>
                <w:sz w:val="18"/>
                <w:szCs w:val="18"/>
              </w:rPr>
              <w:t>Alto</w:t>
            </w:r>
            <w:r>
              <w:rPr>
                <w:rFonts w:ascii="Roboto" w:hAnsi="Roboto"/>
                <w:b/>
                <w:bCs/>
                <w:color w:val="000000"/>
                <w:sz w:val="18"/>
                <w:szCs w:val="18"/>
              </w:rPr>
              <w:t xml:space="preserve"> </w:t>
            </w:r>
          </w:p>
          <w:p w:rsidR="00582DE2" w:rsidRDefault="00582DE2" w:rsidP="0046063C">
            <w:pPr>
              <w:autoSpaceDE w:val="0"/>
              <w:spacing w:after="200"/>
              <w:jc w:val="both"/>
              <w:rPr>
                <w:rFonts w:ascii="Roboto" w:hAnsi="Roboto"/>
                <w:i/>
                <w:iCs/>
                <w:color w:val="000000"/>
                <w:sz w:val="18"/>
                <w:szCs w:val="18"/>
              </w:rPr>
            </w:pPr>
          </w:p>
        </w:tc>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tabs>
                <w:tab w:val="left" w:pos="914"/>
              </w:tabs>
              <w:autoSpaceDE w:val="0"/>
              <w:spacing w:after="200"/>
              <w:jc w:val="both"/>
            </w:pPr>
            <w:r>
              <w:rPr>
                <w:rFonts w:ascii="Roboto" w:hAnsi="Roboto"/>
                <w:color w:val="000000"/>
                <w:sz w:val="18"/>
                <w:szCs w:val="18"/>
              </w:rPr>
              <w:t>Un articolo e/o servizio negli ultimi tre anni riguardante episodi di cattiva amministrazione, scarsa qualità dei servizi o corruzione.</w:t>
            </w:r>
          </w:p>
        </w:tc>
      </w:tr>
      <w:tr w:rsidR="00582DE2" w:rsidTr="0046063C">
        <w:trPr>
          <w:trHeight w:val="484"/>
        </w:trPr>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rPr>
                <w:rFonts w:ascii="Roboto" w:hAnsi="Roboto"/>
                <w:i/>
                <w:iCs/>
                <w:color w:val="000000"/>
                <w:sz w:val="18"/>
                <w:szCs w:val="18"/>
              </w:rPr>
            </w:pPr>
          </w:p>
        </w:tc>
        <w:tc>
          <w:tcPr>
            <w:tcW w:w="49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tabs>
                <w:tab w:val="left" w:pos="914"/>
              </w:tabs>
              <w:autoSpaceDE w:val="0"/>
              <w:spacing w:after="200"/>
              <w:jc w:val="both"/>
              <w:rPr>
                <w:rFonts w:ascii="Roboto" w:hAnsi="Roboto"/>
                <w:b/>
                <w:bCs/>
                <w:i/>
                <w:iCs/>
                <w:color w:val="000000"/>
                <w:sz w:val="18"/>
                <w:szCs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pPr>
            <w:r>
              <w:rPr>
                <w:rFonts w:ascii="Roboto" w:hAnsi="Roboto"/>
                <w:color w:val="000000"/>
                <w:sz w:val="18"/>
                <w:szCs w:val="18"/>
              </w:rPr>
              <w:t>Medio</w:t>
            </w:r>
          </w:p>
        </w:tc>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tabs>
                <w:tab w:val="left" w:pos="914"/>
              </w:tabs>
              <w:autoSpaceDE w:val="0"/>
              <w:spacing w:after="200"/>
              <w:jc w:val="both"/>
            </w:pPr>
            <w:r>
              <w:rPr>
                <w:rFonts w:ascii="Roboto" w:hAnsi="Roboto"/>
                <w:color w:val="000000"/>
                <w:sz w:val="18"/>
                <w:szCs w:val="18"/>
              </w:rPr>
              <w:t>Un articolo e/o servizio negli ultimi cinque anni riguardante episodi di cattiva amministrazione, scarsa qualità dei servizi o corruzione</w:t>
            </w:r>
          </w:p>
        </w:tc>
      </w:tr>
      <w:tr w:rsidR="00582DE2" w:rsidTr="0046063C">
        <w:trPr>
          <w:trHeight w:val="484"/>
        </w:trPr>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rPr>
                <w:rFonts w:ascii="Roboto" w:hAnsi="Roboto"/>
                <w:i/>
                <w:iCs/>
                <w:color w:val="000000"/>
                <w:sz w:val="18"/>
                <w:szCs w:val="18"/>
              </w:rPr>
            </w:pPr>
          </w:p>
        </w:tc>
        <w:tc>
          <w:tcPr>
            <w:tcW w:w="49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tabs>
                <w:tab w:val="left" w:pos="914"/>
              </w:tabs>
              <w:autoSpaceDE w:val="0"/>
              <w:spacing w:after="200"/>
              <w:jc w:val="both"/>
              <w:rPr>
                <w:rFonts w:ascii="Roboto" w:hAnsi="Roboto"/>
                <w:b/>
                <w:bCs/>
                <w:i/>
                <w:iCs/>
                <w:color w:val="000000"/>
                <w:sz w:val="18"/>
                <w:szCs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pPr>
            <w:r>
              <w:rPr>
                <w:rFonts w:ascii="Roboto" w:hAnsi="Roboto"/>
                <w:color w:val="000000"/>
                <w:sz w:val="18"/>
                <w:szCs w:val="18"/>
              </w:rPr>
              <w:t>Basso</w:t>
            </w:r>
          </w:p>
          <w:p w:rsidR="00582DE2" w:rsidRDefault="00582DE2" w:rsidP="0046063C">
            <w:pPr>
              <w:autoSpaceDE w:val="0"/>
              <w:spacing w:after="200"/>
              <w:jc w:val="both"/>
              <w:rPr>
                <w:rFonts w:ascii="Roboto" w:hAnsi="Roboto"/>
                <w:b/>
                <w:bCs/>
                <w:i/>
                <w:iCs/>
                <w:color w:val="000000"/>
                <w:sz w:val="18"/>
                <w:szCs w:val="18"/>
              </w:rPr>
            </w:pPr>
          </w:p>
        </w:tc>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pPr>
            <w:r>
              <w:rPr>
                <w:rFonts w:ascii="Roboto" w:hAnsi="Roboto"/>
                <w:color w:val="000000"/>
                <w:sz w:val="18"/>
                <w:szCs w:val="18"/>
              </w:rPr>
              <w:t>Nessun articolo negli ultimi cinque anni.</w:t>
            </w:r>
          </w:p>
        </w:tc>
      </w:tr>
      <w:tr w:rsidR="00582DE2" w:rsidTr="0046063C">
        <w:trPr>
          <w:trHeight w:val="217"/>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pPr>
            <w:r>
              <w:rPr>
                <w:rFonts w:ascii="Roboto" w:hAnsi="Roboto"/>
                <w:color w:val="000000"/>
                <w:sz w:val="18"/>
                <w:szCs w:val="18"/>
              </w:rPr>
              <w:t>I2</w:t>
            </w:r>
          </w:p>
        </w:tc>
        <w:tc>
          <w:tcPr>
            <w:tcW w:w="49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tabs>
                <w:tab w:val="left" w:pos="914"/>
              </w:tabs>
              <w:autoSpaceDE w:val="0"/>
              <w:spacing w:after="200"/>
              <w:jc w:val="both"/>
            </w:pPr>
            <w:r>
              <w:rPr>
                <w:rFonts w:ascii="Roboto" w:hAnsi="Roboto"/>
                <w:b/>
                <w:bCs/>
                <w:color w:val="000000"/>
                <w:sz w:val="18"/>
                <w:szCs w:val="18"/>
              </w:rPr>
              <w:t xml:space="preserve">Impatto in termini di contenzioso, </w:t>
            </w:r>
            <w:r>
              <w:rPr>
                <w:rFonts w:ascii="Roboto" w:hAnsi="Roboto"/>
                <w:color w:val="000000"/>
                <w:sz w:val="18"/>
                <w:szCs w:val="18"/>
              </w:rPr>
              <w:t>inteso come i costi economici e/o organizzativi sostenuti per il trattamento del contenzioso dall’Amministrazione e/o comunque come i costi prefigurabili che il verificarsi del rischio comporterebbe a carico dell’Amministrazione.</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pPr>
            <w:r>
              <w:rPr>
                <w:rFonts w:ascii="Roboto" w:hAnsi="Roboto"/>
                <w:color w:val="000000"/>
                <w:sz w:val="18"/>
                <w:szCs w:val="18"/>
              </w:rPr>
              <w:t>Alto</w:t>
            </w:r>
            <w:r>
              <w:rPr>
                <w:rFonts w:ascii="Roboto" w:hAnsi="Roboto"/>
                <w:b/>
                <w:bCs/>
                <w:color w:val="000000"/>
                <w:sz w:val="18"/>
                <w:szCs w:val="18"/>
              </w:rPr>
              <w:t xml:space="preserve"> </w:t>
            </w:r>
          </w:p>
          <w:p w:rsidR="00582DE2" w:rsidRDefault="00582DE2" w:rsidP="0046063C">
            <w:pPr>
              <w:autoSpaceDE w:val="0"/>
              <w:spacing w:after="200"/>
              <w:jc w:val="both"/>
              <w:rPr>
                <w:rFonts w:ascii="Roboto" w:hAnsi="Roboto"/>
                <w:b/>
                <w:bCs/>
                <w:i/>
                <w:iCs/>
                <w:color w:val="000000"/>
                <w:sz w:val="18"/>
                <w:szCs w:val="18"/>
              </w:rPr>
            </w:pPr>
          </w:p>
          <w:p w:rsidR="00582DE2" w:rsidRDefault="00582DE2" w:rsidP="0046063C">
            <w:pPr>
              <w:autoSpaceDE w:val="0"/>
              <w:spacing w:after="200"/>
              <w:jc w:val="both"/>
              <w:rPr>
                <w:rFonts w:ascii="Roboto" w:hAnsi="Roboto"/>
                <w:b/>
                <w:bCs/>
                <w:i/>
                <w:iCs/>
                <w:color w:val="000000"/>
                <w:sz w:val="18"/>
                <w:szCs w:val="18"/>
              </w:rPr>
            </w:pPr>
          </w:p>
          <w:p w:rsidR="00582DE2" w:rsidRDefault="00582DE2" w:rsidP="0046063C">
            <w:pPr>
              <w:autoSpaceDE w:val="0"/>
              <w:spacing w:after="200"/>
              <w:jc w:val="both"/>
              <w:rPr>
                <w:rFonts w:ascii="Roboto" w:hAnsi="Roboto"/>
                <w:i/>
                <w:iCs/>
                <w:color w:val="000000"/>
                <w:sz w:val="18"/>
                <w:szCs w:val="18"/>
              </w:rPr>
            </w:pPr>
          </w:p>
        </w:tc>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pPr>
            <w:r>
              <w:rPr>
                <w:rFonts w:ascii="Roboto" w:hAnsi="Roboto"/>
                <w:color w:val="000000"/>
                <w:sz w:val="18"/>
                <w:szCs w:val="18"/>
              </w:rPr>
              <w:t xml:space="preserve">Il verificarsi dell’evento o degli eventi rischiosi potrebbe generare un contenzioso o molteplici conteziosi che impegnerebbero l’Ente in maniera consistente sia dal punto di vista economico sia organizzativo. </w:t>
            </w:r>
          </w:p>
        </w:tc>
      </w:tr>
      <w:tr w:rsidR="00582DE2" w:rsidTr="0046063C">
        <w:trPr>
          <w:trHeight w:val="217"/>
        </w:trPr>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rPr>
                <w:rFonts w:ascii="Roboto" w:hAnsi="Roboto"/>
                <w:i/>
                <w:iCs/>
                <w:color w:val="000000"/>
                <w:sz w:val="18"/>
                <w:szCs w:val="18"/>
              </w:rPr>
            </w:pPr>
          </w:p>
        </w:tc>
        <w:tc>
          <w:tcPr>
            <w:tcW w:w="49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tabs>
                <w:tab w:val="left" w:pos="914"/>
              </w:tabs>
              <w:autoSpaceDE w:val="0"/>
              <w:spacing w:after="200"/>
              <w:jc w:val="both"/>
              <w:rPr>
                <w:rFonts w:ascii="Roboto" w:hAnsi="Roboto"/>
                <w:b/>
                <w:bCs/>
                <w:i/>
                <w:iCs/>
                <w:color w:val="000000"/>
                <w:sz w:val="18"/>
                <w:szCs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pPr>
            <w:r>
              <w:rPr>
                <w:rFonts w:ascii="Roboto" w:hAnsi="Roboto"/>
                <w:color w:val="000000"/>
                <w:sz w:val="18"/>
                <w:szCs w:val="18"/>
              </w:rPr>
              <w:t>Medio</w:t>
            </w:r>
          </w:p>
          <w:p w:rsidR="00582DE2" w:rsidRDefault="00582DE2" w:rsidP="0046063C">
            <w:pPr>
              <w:autoSpaceDE w:val="0"/>
              <w:spacing w:after="200"/>
              <w:jc w:val="both"/>
              <w:rPr>
                <w:rFonts w:ascii="Roboto" w:hAnsi="Roboto"/>
                <w:i/>
                <w:iCs/>
                <w:color w:val="000000"/>
                <w:sz w:val="18"/>
                <w:szCs w:val="18"/>
              </w:rPr>
            </w:pPr>
          </w:p>
          <w:p w:rsidR="00582DE2" w:rsidRDefault="00582DE2" w:rsidP="0046063C">
            <w:pPr>
              <w:autoSpaceDE w:val="0"/>
              <w:spacing w:after="200"/>
              <w:jc w:val="both"/>
              <w:rPr>
                <w:rFonts w:ascii="Roboto" w:hAnsi="Roboto"/>
                <w:i/>
                <w:iCs/>
                <w:color w:val="000000"/>
                <w:sz w:val="18"/>
                <w:szCs w:val="18"/>
              </w:rPr>
            </w:pPr>
          </w:p>
          <w:p w:rsidR="00582DE2" w:rsidRDefault="00582DE2" w:rsidP="0046063C">
            <w:pPr>
              <w:autoSpaceDE w:val="0"/>
              <w:spacing w:after="200"/>
              <w:jc w:val="both"/>
              <w:rPr>
                <w:rFonts w:ascii="Roboto" w:hAnsi="Roboto"/>
                <w:b/>
                <w:bCs/>
                <w:i/>
                <w:iCs/>
                <w:color w:val="000000"/>
                <w:sz w:val="18"/>
                <w:szCs w:val="18"/>
              </w:rPr>
            </w:pPr>
          </w:p>
        </w:tc>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pPr>
            <w:r>
              <w:rPr>
                <w:rFonts w:ascii="Roboto" w:hAnsi="Roboto"/>
                <w:color w:val="000000"/>
                <w:sz w:val="18"/>
                <w:szCs w:val="18"/>
              </w:rPr>
              <w:t>Il verificarsi dell’evento o degli eventi rischiosi potrebbe generare un contenzioso o molteplici conteziosi che impegnerebbero l’Ente sia dal punto di vista economico sia organizzativo.</w:t>
            </w:r>
          </w:p>
        </w:tc>
      </w:tr>
      <w:tr w:rsidR="00582DE2" w:rsidTr="0046063C">
        <w:trPr>
          <w:trHeight w:val="217"/>
        </w:trPr>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rPr>
                <w:rFonts w:ascii="Roboto" w:hAnsi="Roboto"/>
                <w:i/>
                <w:iCs/>
                <w:color w:val="000000"/>
                <w:sz w:val="18"/>
                <w:szCs w:val="18"/>
              </w:rPr>
            </w:pPr>
          </w:p>
        </w:tc>
        <w:tc>
          <w:tcPr>
            <w:tcW w:w="49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tabs>
                <w:tab w:val="left" w:pos="914"/>
              </w:tabs>
              <w:autoSpaceDE w:val="0"/>
              <w:spacing w:after="200"/>
              <w:jc w:val="both"/>
              <w:rPr>
                <w:rFonts w:ascii="Roboto" w:hAnsi="Roboto"/>
                <w:b/>
                <w:bCs/>
                <w:i/>
                <w:iCs/>
                <w:color w:val="000000"/>
                <w:sz w:val="18"/>
                <w:szCs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pPr>
            <w:r>
              <w:rPr>
                <w:rFonts w:ascii="Roboto" w:hAnsi="Roboto"/>
                <w:color w:val="000000"/>
                <w:sz w:val="18"/>
                <w:szCs w:val="18"/>
              </w:rPr>
              <w:t>Basso</w:t>
            </w:r>
          </w:p>
          <w:p w:rsidR="00582DE2" w:rsidRDefault="00582DE2" w:rsidP="0046063C">
            <w:pPr>
              <w:autoSpaceDE w:val="0"/>
              <w:spacing w:after="200"/>
              <w:jc w:val="both"/>
              <w:rPr>
                <w:rFonts w:ascii="Roboto" w:hAnsi="Roboto"/>
                <w:b/>
                <w:bCs/>
                <w:i/>
                <w:iCs/>
                <w:color w:val="000000"/>
                <w:sz w:val="18"/>
                <w:szCs w:val="18"/>
              </w:rPr>
            </w:pPr>
          </w:p>
        </w:tc>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pPr>
            <w:r>
              <w:rPr>
                <w:rFonts w:ascii="Roboto" w:hAnsi="Roboto"/>
                <w:color w:val="000000"/>
                <w:sz w:val="18"/>
                <w:szCs w:val="18"/>
              </w:rPr>
              <w:t>Il contenzioso generato a seguito del verificarsi dell’evento o degli eventi rischiosi è di poco conto o nullo.</w:t>
            </w:r>
          </w:p>
        </w:tc>
      </w:tr>
      <w:tr w:rsidR="00582DE2" w:rsidTr="0046063C">
        <w:trPr>
          <w:trHeight w:val="377"/>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pPr>
            <w:r>
              <w:rPr>
                <w:rFonts w:ascii="Roboto" w:hAnsi="Roboto"/>
                <w:color w:val="000000"/>
                <w:sz w:val="18"/>
                <w:szCs w:val="18"/>
              </w:rPr>
              <w:lastRenderedPageBreak/>
              <w:t>I3</w:t>
            </w:r>
          </w:p>
        </w:tc>
        <w:tc>
          <w:tcPr>
            <w:tcW w:w="49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tabs>
                <w:tab w:val="left" w:pos="914"/>
              </w:tabs>
              <w:autoSpaceDE w:val="0"/>
              <w:spacing w:after="200"/>
              <w:jc w:val="both"/>
            </w:pPr>
            <w:r>
              <w:rPr>
                <w:rFonts w:ascii="Roboto" w:hAnsi="Roboto"/>
                <w:b/>
                <w:bCs/>
                <w:color w:val="000000"/>
                <w:sz w:val="18"/>
                <w:szCs w:val="18"/>
              </w:rPr>
              <w:t>Impatto organizzativo e/o sulla continuità del servizio</w:t>
            </w:r>
            <w:r>
              <w:rPr>
                <w:rFonts w:ascii="Roboto" w:hAnsi="Roboto"/>
                <w:color w:val="000000"/>
                <w:sz w:val="18"/>
                <w:szCs w:val="18"/>
              </w:rPr>
              <w:t>, inteso come l’effetto che il verificarsi di uno o più eventi rischiosi inerenti al processo può comportare nel normale svolgimento delle attività dell’Ente.</w:t>
            </w:r>
          </w:p>
          <w:p w:rsidR="00582DE2" w:rsidRDefault="00582DE2" w:rsidP="0046063C">
            <w:pPr>
              <w:tabs>
                <w:tab w:val="left" w:pos="914"/>
              </w:tabs>
              <w:autoSpaceDE w:val="0"/>
              <w:spacing w:after="200"/>
              <w:jc w:val="both"/>
              <w:rPr>
                <w:rFonts w:ascii="Roboto" w:hAnsi="Roboto"/>
                <w:i/>
                <w:iCs/>
                <w:color w:val="000000"/>
                <w:sz w:val="18"/>
                <w:szCs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pPr>
            <w:r>
              <w:rPr>
                <w:rFonts w:ascii="Roboto" w:hAnsi="Roboto"/>
                <w:color w:val="000000"/>
                <w:sz w:val="18"/>
                <w:szCs w:val="18"/>
              </w:rPr>
              <w:t>Alto</w:t>
            </w:r>
            <w:r>
              <w:rPr>
                <w:rFonts w:ascii="Roboto" w:hAnsi="Roboto"/>
                <w:b/>
                <w:bCs/>
                <w:color w:val="000000"/>
                <w:sz w:val="18"/>
                <w:szCs w:val="18"/>
              </w:rPr>
              <w:t xml:space="preserve"> </w:t>
            </w:r>
          </w:p>
          <w:p w:rsidR="00582DE2" w:rsidRDefault="00582DE2" w:rsidP="0046063C">
            <w:pPr>
              <w:autoSpaceDE w:val="0"/>
              <w:spacing w:after="200"/>
              <w:jc w:val="both"/>
              <w:rPr>
                <w:rFonts w:ascii="Roboto" w:hAnsi="Roboto"/>
                <w:i/>
                <w:iCs/>
                <w:color w:val="000000"/>
                <w:sz w:val="18"/>
                <w:szCs w:val="18"/>
              </w:rPr>
            </w:pPr>
          </w:p>
        </w:tc>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pPr>
            <w:r>
              <w:rPr>
                <w:rFonts w:ascii="Roboto" w:hAnsi="Roboto"/>
                <w:color w:val="000000"/>
                <w:sz w:val="18"/>
                <w:szCs w:val="18"/>
              </w:rPr>
              <w:t>Interruzione del servizio totale o parziale ovvero aggravio per gli altri dipendenti dell’Ente.</w:t>
            </w:r>
          </w:p>
        </w:tc>
      </w:tr>
      <w:tr w:rsidR="00582DE2" w:rsidTr="0046063C">
        <w:trPr>
          <w:trHeight w:val="375"/>
        </w:trPr>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rPr>
                <w:rFonts w:ascii="Roboto" w:hAnsi="Roboto"/>
                <w:i/>
                <w:iCs/>
                <w:color w:val="000000"/>
                <w:sz w:val="18"/>
                <w:szCs w:val="18"/>
              </w:rPr>
            </w:pPr>
          </w:p>
        </w:tc>
        <w:tc>
          <w:tcPr>
            <w:tcW w:w="49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tabs>
                <w:tab w:val="left" w:pos="914"/>
              </w:tabs>
              <w:autoSpaceDE w:val="0"/>
              <w:spacing w:after="200"/>
              <w:jc w:val="both"/>
              <w:rPr>
                <w:rFonts w:ascii="Roboto" w:hAnsi="Roboto"/>
                <w:b/>
                <w:bCs/>
                <w:i/>
                <w:iCs/>
                <w:color w:val="000000"/>
                <w:sz w:val="18"/>
                <w:szCs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pPr>
            <w:r>
              <w:rPr>
                <w:rFonts w:ascii="Roboto" w:hAnsi="Roboto"/>
                <w:color w:val="000000"/>
                <w:sz w:val="18"/>
                <w:szCs w:val="18"/>
              </w:rPr>
              <w:t>Medio</w:t>
            </w:r>
          </w:p>
          <w:p w:rsidR="00582DE2" w:rsidRDefault="00582DE2" w:rsidP="0046063C">
            <w:pPr>
              <w:autoSpaceDE w:val="0"/>
              <w:spacing w:after="200"/>
              <w:jc w:val="both"/>
              <w:rPr>
                <w:rFonts w:ascii="Roboto" w:hAnsi="Roboto"/>
                <w:i/>
                <w:iCs/>
                <w:color w:val="000000"/>
                <w:sz w:val="18"/>
                <w:szCs w:val="18"/>
              </w:rPr>
            </w:pPr>
          </w:p>
          <w:p w:rsidR="00582DE2" w:rsidRDefault="00582DE2" w:rsidP="0046063C">
            <w:pPr>
              <w:autoSpaceDE w:val="0"/>
              <w:spacing w:after="200"/>
              <w:jc w:val="both"/>
              <w:rPr>
                <w:rFonts w:ascii="Roboto" w:hAnsi="Roboto"/>
                <w:b/>
                <w:bCs/>
                <w:i/>
                <w:iCs/>
                <w:color w:val="000000"/>
                <w:sz w:val="18"/>
                <w:szCs w:val="18"/>
              </w:rPr>
            </w:pPr>
          </w:p>
        </w:tc>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pPr>
            <w:r>
              <w:rPr>
                <w:rFonts w:ascii="Roboto" w:hAnsi="Roboto"/>
                <w:color w:val="000000"/>
                <w:sz w:val="18"/>
                <w:szCs w:val="18"/>
              </w:rPr>
              <w:t>Limitata funzionalità del servizio cui far fronte attraverso altri dipendenti dell’Ente o risorse esterne.</w:t>
            </w:r>
          </w:p>
        </w:tc>
      </w:tr>
      <w:tr w:rsidR="00582DE2" w:rsidTr="0046063C">
        <w:trPr>
          <w:trHeight w:val="375"/>
        </w:trPr>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rPr>
                <w:rFonts w:ascii="Roboto" w:hAnsi="Roboto"/>
                <w:i/>
                <w:iCs/>
                <w:color w:val="000000"/>
                <w:sz w:val="18"/>
                <w:szCs w:val="18"/>
              </w:rPr>
            </w:pPr>
          </w:p>
        </w:tc>
        <w:tc>
          <w:tcPr>
            <w:tcW w:w="49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tabs>
                <w:tab w:val="left" w:pos="914"/>
              </w:tabs>
              <w:autoSpaceDE w:val="0"/>
              <w:spacing w:after="200"/>
              <w:jc w:val="both"/>
              <w:rPr>
                <w:rFonts w:ascii="Roboto" w:hAnsi="Roboto"/>
                <w:b/>
                <w:bCs/>
                <w:i/>
                <w:iCs/>
                <w:color w:val="000000"/>
                <w:sz w:val="18"/>
                <w:szCs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pPr>
            <w:r>
              <w:rPr>
                <w:rFonts w:ascii="Roboto" w:hAnsi="Roboto"/>
                <w:color w:val="000000"/>
                <w:sz w:val="18"/>
                <w:szCs w:val="18"/>
              </w:rPr>
              <w:t>Basso</w:t>
            </w:r>
          </w:p>
        </w:tc>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pPr>
            <w:r>
              <w:rPr>
                <w:rFonts w:ascii="Roboto" w:hAnsi="Roboto"/>
                <w:color w:val="000000"/>
                <w:sz w:val="18"/>
                <w:szCs w:val="18"/>
              </w:rPr>
              <w:t>Nessuno o scarso impatto organizzativo e/o sulla continuità del servizio.</w:t>
            </w:r>
          </w:p>
        </w:tc>
      </w:tr>
      <w:tr w:rsidR="00582DE2" w:rsidTr="0046063C">
        <w:trPr>
          <w:trHeight w:val="430"/>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pPr>
            <w:r>
              <w:rPr>
                <w:rFonts w:ascii="Roboto" w:hAnsi="Roboto"/>
                <w:color w:val="000000"/>
                <w:sz w:val="18"/>
                <w:szCs w:val="18"/>
              </w:rPr>
              <w:t>I4</w:t>
            </w:r>
          </w:p>
        </w:tc>
        <w:tc>
          <w:tcPr>
            <w:tcW w:w="49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tabs>
                <w:tab w:val="left" w:pos="914"/>
              </w:tabs>
              <w:autoSpaceDE w:val="0"/>
              <w:spacing w:after="200"/>
              <w:jc w:val="both"/>
            </w:pPr>
            <w:r>
              <w:rPr>
                <w:rFonts w:ascii="Roboto" w:hAnsi="Roboto"/>
                <w:b/>
                <w:bCs/>
                <w:color w:val="000000"/>
                <w:sz w:val="18"/>
                <w:szCs w:val="18"/>
              </w:rPr>
              <w:t>Danno generato</w:t>
            </w:r>
            <w:r>
              <w:rPr>
                <w:rFonts w:ascii="Roboto" w:hAnsi="Roboto"/>
                <w:color w:val="000000"/>
                <w:sz w:val="18"/>
                <w:szCs w:val="18"/>
              </w:rPr>
              <w:t xml:space="preserve"> a seguito di irregolarità riscontrate da organismi interni di controllo (controlli interni, controllo di gestione, audit) o autorità esterne (Corte dei Conti, Autorità Giudiziaria, Autorità Amministrativa) e/o comunque considerato il possibile impatto che il verificarsi del rischio in termini di danno generato.</w:t>
            </w:r>
          </w:p>
          <w:p w:rsidR="00582DE2" w:rsidRDefault="00582DE2" w:rsidP="0046063C">
            <w:pPr>
              <w:tabs>
                <w:tab w:val="left" w:pos="914"/>
              </w:tabs>
              <w:autoSpaceDE w:val="0"/>
              <w:spacing w:after="200"/>
              <w:jc w:val="both"/>
              <w:rPr>
                <w:rFonts w:ascii="Roboto" w:hAnsi="Roboto"/>
                <w:i/>
                <w:iCs/>
                <w:color w:val="000000"/>
                <w:sz w:val="18"/>
                <w:szCs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pPr>
            <w:r>
              <w:rPr>
                <w:rFonts w:ascii="Roboto" w:hAnsi="Roboto"/>
                <w:color w:val="000000"/>
                <w:sz w:val="18"/>
                <w:szCs w:val="18"/>
              </w:rPr>
              <w:t xml:space="preserve">Alto </w:t>
            </w:r>
          </w:p>
          <w:p w:rsidR="00582DE2" w:rsidRDefault="00582DE2" w:rsidP="0046063C">
            <w:pPr>
              <w:autoSpaceDE w:val="0"/>
              <w:spacing w:after="200"/>
              <w:jc w:val="both"/>
              <w:rPr>
                <w:rFonts w:ascii="Roboto" w:hAnsi="Roboto"/>
                <w:i/>
                <w:iCs/>
                <w:color w:val="000000"/>
                <w:sz w:val="18"/>
                <w:szCs w:val="18"/>
              </w:rPr>
            </w:pPr>
          </w:p>
          <w:p w:rsidR="00582DE2" w:rsidRDefault="00582DE2" w:rsidP="0046063C">
            <w:pPr>
              <w:autoSpaceDE w:val="0"/>
              <w:spacing w:after="200"/>
              <w:jc w:val="both"/>
              <w:rPr>
                <w:rFonts w:ascii="Roboto" w:hAnsi="Roboto"/>
                <w:i/>
                <w:iCs/>
                <w:color w:val="000000"/>
                <w:sz w:val="18"/>
                <w:szCs w:val="18"/>
              </w:rPr>
            </w:pPr>
          </w:p>
          <w:p w:rsidR="00582DE2" w:rsidRDefault="00582DE2" w:rsidP="0046063C">
            <w:pPr>
              <w:autoSpaceDE w:val="0"/>
              <w:spacing w:after="200"/>
              <w:jc w:val="both"/>
              <w:rPr>
                <w:rFonts w:ascii="Roboto" w:hAnsi="Roboto"/>
                <w:i/>
                <w:iCs/>
                <w:color w:val="000000"/>
                <w:sz w:val="18"/>
                <w:szCs w:val="18"/>
              </w:rPr>
            </w:pPr>
          </w:p>
        </w:tc>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pPr>
            <w:r>
              <w:rPr>
                <w:rFonts w:ascii="Roboto" w:hAnsi="Roboto"/>
                <w:color w:val="000000"/>
                <w:sz w:val="18"/>
                <w:szCs w:val="18"/>
              </w:rPr>
              <w:t>Il verificarsi dell’evento o degli eventi rischiosi comporta costi in termini di sanzioni che potrebbero essere addebitate all’Ente molto rilevanti.</w:t>
            </w:r>
          </w:p>
        </w:tc>
      </w:tr>
      <w:tr w:rsidR="00582DE2" w:rsidTr="0046063C">
        <w:trPr>
          <w:trHeight w:val="430"/>
        </w:trPr>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rPr>
                <w:rFonts w:ascii="Roboto" w:hAnsi="Roboto"/>
                <w:i/>
                <w:iCs/>
                <w:color w:val="000000"/>
                <w:sz w:val="18"/>
                <w:szCs w:val="18"/>
              </w:rPr>
            </w:pPr>
          </w:p>
        </w:tc>
        <w:tc>
          <w:tcPr>
            <w:tcW w:w="49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tabs>
                <w:tab w:val="left" w:pos="914"/>
              </w:tabs>
              <w:autoSpaceDE w:val="0"/>
              <w:spacing w:after="200"/>
              <w:jc w:val="both"/>
              <w:rPr>
                <w:rFonts w:ascii="Roboto" w:hAnsi="Roboto"/>
                <w:b/>
                <w:bCs/>
                <w:i/>
                <w:iCs/>
                <w:color w:val="000000"/>
                <w:sz w:val="18"/>
                <w:szCs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pPr>
            <w:r>
              <w:rPr>
                <w:rFonts w:ascii="Roboto" w:hAnsi="Roboto"/>
                <w:color w:val="000000"/>
                <w:sz w:val="18"/>
                <w:szCs w:val="18"/>
              </w:rPr>
              <w:t>Medio</w:t>
            </w:r>
          </w:p>
          <w:p w:rsidR="00582DE2" w:rsidRDefault="00582DE2" w:rsidP="0046063C">
            <w:pPr>
              <w:autoSpaceDE w:val="0"/>
              <w:spacing w:after="200"/>
              <w:jc w:val="both"/>
              <w:rPr>
                <w:rFonts w:ascii="Roboto" w:hAnsi="Roboto"/>
                <w:i/>
                <w:iCs/>
                <w:color w:val="000000"/>
                <w:sz w:val="18"/>
                <w:szCs w:val="18"/>
              </w:rPr>
            </w:pPr>
          </w:p>
          <w:p w:rsidR="00582DE2" w:rsidRDefault="00582DE2" w:rsidP="0046063C">
            <w:pPr>
              <w:autoSpaceDE w:val="0"/>
              <w:spacing w:after="200"/>
              <w:jc w:val="both"/>
              <w:rPr>
                <w:rFonts w:ascii="Roboto" w:hAnsi="Roboto"/>
                <w:i/>
                <w:iCs/>
                <w:color w:val="000000"/>
                <w:sz w:val="18"/>
                <w:szCs w:val="18"/>
              </w:rPr>
            </w:pPr>
          </w:p>
          <w:p w:rsidR="00582DE2" w:rsidRDefault="00582DE2" w:rsidP="0046063C">
            <w:pPr>
              <w:autoSpaceDE w:val="0"/>
              <w:spacing w:after="200"/>
              <w:jc w:val="both"/>
              <w:rPr>
                <w:rFonts w:ascii="Roboto" w:hAnsi="Roboto"/>
                <w:i/>
                <w:iCs/>
                <w:color w:val="000000"/>
                <w:sz w:val="18"/>
                <w:szCs w:val="18"/>
              </w:rPr>
            </w:pPr>
          </w:p>
        </w:tc>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pPr>
            <w:r>
              <w:rPr>
                <w:rFonts w:ascii="Roboto" w:hAnsi="Roboto"/>
                <w:color w:val="000000"/>
                <w:sz w:val="18"/>
                <w:szCs w:val="18"/>
              </w:rPr>
              <w:t>Il verificarsi dell’evento o degli eventi rischiosi comporta costi in termini di sanzioni che potrebbero essere addebitate all’Ente.</w:t>
            </w:r>
          </w:p>
        </w:tc>
      </w:tr>
      <w:tr w:rsidR="00582DE2" w:rsidTr="0046063C">
        <w:trPr>
          <w:trHeight w:val="430"/>
        </w:trPr>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rPr>
                <w:rFonts w:ascii="Roboto" w:hAnsi="Roboto"/>
                <w:i/>
                <w:iCs/>
                <w:color w:val="000000"/>
                <w:sz w:val="18"/>
                <w:szCs w:val="18"/>
              </w:rPr>
            </w:pPr>
          </w:p>
        </w:tc>
        <w:tc>
          <w:tcPr>
            <w:tcW w:w="49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tabs>
                <w:tab w:val="left" w:pos="914"/>
              </w:tabs>
              <w:autoSpaceDE w:val="0"/>
              <w:spacing w:after="200"/>
              <w:jc w:val="both"/>
              <w:rPr>
                <w:rFonts w:ascii="Roboto" w:hAnsi="Roboto"/>
                <w:b/>
                <w:bCs/>
                <w:i/>
                <w:iCs/>
                <w:color w:val="000000"/>
                <w:sz w:val="18"/>
                <w:szCs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pPr>
            <w:r>
              <w:rPr>
                <w:rFonts w:ascii="Roboto" w:hAnsi="Roboto"/>
                <w:color w:val="000000"/>
                <w:sz w:val="18"/>
                <w:szCs w:val="18"/>
              </w:rPr>
              <w:t>Basso</w:t>
            </w:r>
          </w:p>
        </w:tc>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pPr>
            <w:r>
              <w:rPr>
                <w:rFonts w:ascii="Roboto" w:hAnsi="Roboto"/>
                <w:color w:val="000000"/>
                <w:sz w:val="18"/>
                <w:szCs w:val="18"/>
              </w:rPr>
              <w:t>Il verificarsi dell’evento o degli eventi rischiosi comporta costi in termini di sanzioni che potrebbero essere addebitate all’Ente trascurabili o nulli.</w:t>
            </w:r>
          </w:p>
        </w:tc>
      </w:tr>
    </w:tbl>
    <w:p w:rsidR="00582DE2" w:rsidRDefault="00582DE2" w:rsidP="00582DE2">
      <w:pPr>
        <w:autoSpaceDE w:val="0"/>
        <w:jc w:val="both"/>
        <w:rPr>
          <w:rFonts w:ascii="Arial" w:hAnsi="Arial" w:cs="Arial"/>
          <w:i/>
          <w:iCs/>
          <w:color w:val="000000"/>
          <w:sz w:val="21"/>
          <w:szCs w:val="21"/>
        </w:rPr>
      </w:pPr>
    </w:p>
    <w:p w:rsidR="00582DE2" w:rsidRDefault="00582DE2" w:rsidP="00582DE2">
      <w:pPr>
        <w:autoSpaceDE w:val="0"/>
        <w:jc w:val="both"/>
        <w:rPr>
          <w:rFonts w:ascii="Arial" w:hAnsi="Arial" w:cs="Arial"/>
          <w:i/>
          <w:iCs/>
          <w:color w:val="000000"/>
          <w:sz w:val="21"/>
          <w:szCs w:val="21"/>
        </w:rPr>
      </w:pPr>
    </w:p>
    <w:p w:rsidR="00582DE2" w:rsidRDefault="00582DE2" w:rsidP="00582DE2">
      <w:pPr>
        <w:pStyle w:val="Paragrafoelenco"/>
        <w:numPr>
          <w:ilvl w:val="0"/>
          <w:numId w:val="38"/>
        </w:numPr>
        <w:jc w:val="both"/>
      </w:pPr>
      <w:r>
        <w:rPr>
          <w:rFonts w:ascii="Arial" w:hAnsi="Arial" w:cs="Arial"/>
          <w:b/>
          <w:bCs/>
          <w:color w:val="000000"/>
          <w:sz w:val="21"/>
          <w:szCs w:val="21"/>
        </w:rPr>
        <w:t xml:space="preserve">Definizione </w:t>
      </w:r>
      <w:r>
        <w:rPr>
          <w:rFonts w:ascii="Arial" w:hAnsi="Arial" w:cs="Arial"/>
          <w:bCs/>
          <w:color w:val="000000"/>
          <w:sz w:val="21"/>
          <w:szCs w:val="21"/>
        </w:rPr>
        <w:t>per processo</w:t>
      </w:r>
      <w:r>
        <w:rPr>
          <w:rFonts w:ascii="Arial" w:hAnsi="Arial" w:cs="Arial"/>
          <w:b/>
          <w:bCs/>
          <w:color w:val="000000"/>
          <w:sz w:val="21"/>
          <w:szCs w:val="21"/>
        </w:rPr>
        <w:t xml:space="preserve"> </w:t>
      </w:r>
      <w:r>
        <w:rPr>
          <w:rFonts w:ascii="Arial" w:hAnsi="Arial" w:cs="Arial"/>
          <w:bCs/>
          <w:color w:val="000000"/>
          <w:sz w:val="21"/>
          <w:szCs w:val="21"/>
        </w:rPr>
        <w:t xml:space="preserve">del valore sintetico delle variabili rilevati nella fase precedente per ciascuno dei due indicatori (probabilità e impatto) attraverso il ricorso alla moda, ovvero al valore (alto, medio, basso) che si presenta con maggiore frequenza. Nel caso in cui due valori si sono presentati con la stessa frequenza si è preferito il più alto fra i due. </w:t>
      </w:r>
      <w:r>
        <w:rPr>
          <w:rFonts w:ascii="Arial" w:hAnsi="Arial" w:cs="Arial"/>
          <w:color w:val="000000"/>
          <w:sz w:val="21"/>
          <w:szCs w:val="21"/>
        </w:rPr>
        <w:t xml:space="preserve">Ad ogni processo è stato quindi attribuito un livello di rischiosità per ciascuna variabile sia di probabilità, sia di impatto in modo da ricavare i due valori sintetici di probabilità e di impatto: </w:t>
      </w:r>
    </w:p>
    <w:tbl>
      <w:tblPr>
        <w:tblW w:w="9634" w:type="dxa"/>
        <w:tblCellMar>
          <w:left w:w="10" w:type="dxa"/>
          <w:right w:w="10" w:type="dxa"/>
        </w:tblCellMar>
        <w:tblLook w:val="04A0" w:firstRow="1" w:lastRow="0" w:firstColumn="1" w:lastColumn="0" w:noHBand="0" w:noVBand="1"/>
      </w:tblPr>
      <w:tblGrid>
        <w:gridCol w:w="1184"/>
        <w:gridCol w:w="308"/>
        <w:gridCol w:w="308"/>
        <w:gridCol w:w="308"/>
        <w:gridCol w:w="308"/>
        <w:gridCol w:w="308"/>
        <w:gridCol w:w="308"/>
        <w:gridCol w:w="308"/>
        <w:gridCol w:w="308"/>
        <w:gridCol w:w="1831"/>
        <w:gridCol w:w="328"/>
        <w:gridCol w:w="425"/>
        <w:gridCol w:w="426"/>
        <w:gridCol w:w="425"/>
        <w:gridCol w:w="2551"/>
      </w:tblGrid>
      <w:tr w:rsidR="00582DE2" w:rsidTr="0046063C">
        <w:tc>
          <w:tcPr>
            <w:tcW w:w="1184" w:type="dxa"/>
            <w:vMerge w:val="restart"/>
            <w:tcBorders>
              <w:top w:val="single" w:sz="4" w:space="0" w:color="000000"/>
              <w:left w:val="single" w:sz="4" w:space="0" w:color="000000"/>
              <w:bottom w:val="single" w:sz="4" w:space="0" w:color="000000"/>
              <w:right w:val="single" w:sz="4" w:space="0" w:color="000000"/>
            </w:tcBorders>
            <w:shd w:val="clear" w:color="auto" w:fill="D8D8D8"/>
            <w:tcMar>
              <w:top w:w="15" w:type="dxa"/>
              <w:left w:w="15" w:type="dxa"/>
              <w:bottom w:w="15" w:type="dxa"/>
              <w:right w:w="15" w:type="dxa"/>
            </w:tcMar>
            <w:vAlign w:val="center"/>
          </w:tcPr>
          <w:p w:rsidR="00582DE2" w:rsidRDefault="004E1806" w:rsidP="0046063C">
            <w:pPr>
              <w:jc w:val="center"/>
            </w:pPr>
            <w:r w:rsidRPr="00582DE2">
              <w:rPr>
                <w:i/>
                <w:noProof/>
              </w:rPr>
              <w:drawing>
                <wp:inline distT="0" distB="0" distL="0" distR="0">
                  <wp:extent cx="19050" cy="19050"/>
                  <wp:effectExtent l="0" t="0" r="0" b="0"/>
                  <wp:docPr id="2" name="Immagine 5" descr="page72image2737379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page72image27373790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00582DE2">
              <w:rPr>
                <w:rFonts w:ascii="Calibri" w:hAnsi="Calibri"/>
                <w:b/>
                <w:bCs/>
                <w:sz w:val="26"/>
                <w:szCs w:val="26"/>
              </w:rPr>
              <w:t>Processo</w:t>
            </w:r>
          </w:p>
        </w:tc>
        <w:tc>
          <w:tcPr>
            <w:tcW w:w="4295" w:type="dxa"/>
            <w:gridSpan w:val="9"/>
            <w:tcBorders>
              <w:top w:val="single" w:sz="4" w:space="0" w:color="000000"/>
              <w:left w:val="single" w:sz="4" w:space="0" w:color="000000"/>
              <w:bottom w:val="single" w:sz="4" w:space="0" w:color="000000"/>
              <w:right w:val="single" w:sz="4" w:space="0" w:color="000000"/>
            </w:tcBorders>
            <w:shd w:val="clear" w:color="auto" w:fill="A5A5A5"/>
            <w:tcMar>
              <w:top w:w="15" w:type="dxa"/>
              <w:left w:w="15" w:type="dxa"/>
              <w:bottom w:w="15" w:type="dxa"/>
              <w:right w:w="15" w:type="dxa"/>
            </w:tcMar>
            <w:vAlign w:val="center"/>
          </w:tcPr>
          <w:p w:rsidR="00582DE2" w:rsidRDefault="00582DE2" w:rsidP="0046063C">
            <w:pPr>
              <w:spacing w:before="100" w:after="100"/>
              <w:jc w:val="center"/>
            </w:pPr>
            <w:r>
              <w:rPr>
                <w:rFonts w:ascii="Calibri" w:hAnsi="Calibri"/>
                <w:b/>
                <w:bCs/>
                <w:sz w:val="26"/>
                <w:szCs w:val="26"/>
              </w:rPr>
              <w:t>Probabilità</w:t>
            </w:r>
          </w:p>
        </w:tc>
        <w:tc>
          <w:tcPr>
            <w:tcW w:w="4155" w:type="dxa"/>
            <w:gridSpan w:val="5"/>
            <w:tcBorders>
              <w:top w:val="single" w:sz="4" w:space="0" w:color="000000"/>
              <w:left w:val="single" w:sz="4" w:space="0" w:color="000000"/>
              <w:bottom w:val="single" w:sz="4" w:space="0" w:color="000000"/>
              <w:right w:val="single" w:sz="8" w:space="0" w:color="000000"/>
            </w:tcBorders>
            <w:shd w:val="clear" w:color="auto" w:fill="A5A5A5"/>
            <w:tcMar>
              <w:top w:w="15" w:type="dxa"/>
              <w:left w:w="15" w:type="dxa"/>
              <w:bottom w:w="15" w:type="dxa"/>
              <w:right w:w="15" w:type="dxa"/>
            </w:tcMar>
            <w:vAlign w:val="center"/>
          </w:tcPr>
          <w:p w:rsidR="00582DE2" w:rsidRDefault="00582DE2" w:rsidP="0046063C">
            <w:pPr>
              <w:spacing w:before="100" w:after="100"/>
              <w:jc w:val="center"/>
            </w:pPr>
            <w:r>
              <w:rPr>
                <w:rFonts w:ascii="Calibri" w:hAnsi="Calibri"/>
                <w:b/>
                <w:bCs/>
                <w:sz w:val="26"/>
                <w:szCs w:val="26"/>
              </w:rPr>
              <w:t>Impatto</w:t>
            </w:r>
          </w:p>
        </w:tc>
      </w:tr>
      <w:tr w:rsidR="00582DE2" w:rsidTr="0046063C">
        <w:tc>
          <w:tcPr>
            <w:tcW w:w="1184" w:type="dxa"/>
            <w:vMerge/>
            <w:tcBorders>
              <w:top w:val="single" w:sz="4" w:space="0" w:color="000000"/>
              <w:left w:val="single" w:sz="4" w:space="0" w:color="000000"/>
              <w:bottom w:val="single" w:sz="4" w:space="0" w:color="000000"/>
              <w:right w:val="single" w:sz="4" w:space="0" w:color="000000"/>
            </w:tcBorders>
            <w:shd w:val="clear" w:color="auto" w:fill="D8D8D8"/>
            <w:tcMar>
              <w:top w:w="15" w:type="dxa"/>
              <w:left w:w="15" w:type="dxa"/>
              <w:bottom w:w="15" w:type="dxa"/>
              <w:right w:w="15" w:type="dxa"/>
            </w:tcMar>
            <w:vAlign w:val="center"/>
          </w:tcPr>
          <w:p w:rsidR="00582DE2" w:rsidRDefault="00582DE2" w:rsidP="0046063C">
            <w:pPr>
              <w:rPr>
                <w:i/>
                <w:iCs/>
              </w:rPr>
            </w:pPr>
          </w:p>
        </w:tc>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82DE2" w:rsidRDefault="00582DE2" w:rsidP="0046063C">
            <w:pPr>
              <w:spacing w:before="100" w:after="100"/>
            </w:pPr>
            <w:r>
              <w:rPr>
                <w:rFonts w:ascii="Calibri" w:hAnsi="Calibri"/>
                <w:b/>
                <w:bCs/>
                <w:sz w:val="26"/>
                <w:szCs w:val="26"/>
              </w:rPr>
              <w:t xml:space="preserve">P1 </w:t>
            </w:r>
          </w:p>
        </w:tc>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82DE2" w:rsidRDefault="00582DE2" w:rsidP="0046063C">
            <w:pPr>
              <w:spacing w:before="100" w:after="100"/>
            </w:pPr>
            <w:r>
              <w:rPr>
                <w:rFonts w:ascii="Calibri" w:hAnsi="Calibri"/>
                <w:b/>
                <w:bCs/>
                <w:sz w:val="26"/>
                <w:szCs w:val="26"/>
              </w:rPr>
              <w:t xml:space="preserve">P2 </w:t>
            </w:r>
          </w:p>
        </w:tc>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82DE2" w:rsidRDefault="00582DE2" w:rsidP="0046063C">
            <w:pPr>
              <w:spacing w:before="100" w:after="100"/>
            </w:pPr>
            <w:r>
              <w:rPr>
                <w:rFonts w:ascii="Calibri" w:hAnsi="Calibri"/>
                <w:b/>
                <w:bCs/>
                <w:sz w:val="26"/>
                <w:szCs w:val="26"/>
              </w:rPr>
              <w:t xml:space="preserve">P3 </w:t>
            </w:r>
          </w:p>
        </w:tc>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82DE2" w:rsidRDefault="00582DE2" w:rsidP="0046063C">
            <w:pPr>
              <w:spacing w:before="100" w:after="100"/>
            </w:pPr>
            <w:r>
              <w:rPr>
                <w:rFonts w:ascii="Calibri" w:hAnsi="Calibri"/>
                <w:b/>
                <w:bCs/>
                <w:sz w:val="26"/>
                <w:szCs w:val="26"/>
              </w:rPr>
              <w:t xml:space="preserve">P4 </w:t>
            </w:r>
          </w:p>
        </w:tc>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82DE2" w:rsidRDefault="00582DE2" w:rsidP="0046063C">
            <w:pPr>
              <w:spacing w:before="100" w:after="100"/>
            </w:pPr>
            <w:r>
              <w:rPr>
                <w:rFonts w:ascii="Calibri" w:hAnsi="Calibri"/>
                <w:b/>
                <w:bCs/>
                <w:sz w:val="26"/>
                <w:szCs w:val="26"/>
              </w:rPr>
              <w:t xml:space="preserve">P5 </w:t>
            </w:r>
          </w:p>
        </w:tc>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82DE2" w:rsidRDefault="00582DE2" w:rsidP="0046063C">
            <w:pPr>
              <w:spacing w:before="100" w:after="100"/>
            </w:pPr>
            <w:r>
              <w:rPr>
                <w:rFonts w:ascii="Calibri" w:hAnsi="Calibri"/>
                <w:b/>
                <w:bCs/>
                <w:sz w:val="26"/>
                <w:szCs w:val="26"/>
              </w:rPr>
              <w:t xml:space="preserve">P6 </w:t>
            </w:r>
          </w:p>
        </w:tc>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82DE2" w:rsidRDefault="00582DE2" w:rsidP="0046063C">
            <w:pPr>
              <w:spacing w:before="100" w:after="100"/>
            </w:pPr>
            <w:r>
              <w:rPr>
                <w:rFonts w:ascii="Calibri" w:hAnsi="Calibri"/>
                <w:b/>
                <w:bCs/>
                <w:sz w:val="26"/>
                <w:szCs w:val="26"/>
              </w:rPr>
              <w:t xml:space="preserve">P7 </w:t>
            </w:r>
          </w:p>
        </w:tc>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82DE2" w:rsidRDefault="00582DE2" w:rsidP="0046063C">
            <w:pPr>
              <w:spacing w:before="100" w:after="100"/>
            </w:pPr>
            <w:r>
              <w:rPr>
                <w:rFonts w:ascii="Calibri" w:hAnsi="Calibri"/>
                <w:b/>
                <w:bCs/>
                <w:sz w:val="26"/>
                <w:szCs w:val="26"/>
              </w:rPr>
              <w:t xml:space="preserve">P8 </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82DE2" w:rsidRDefault="00582DE2" w:rsidP="0046063C">
            <w:pPr>
              <w:spacing w:before="100" w:after="100"/>
              <w:jc w:val="center"/>
            </w:pPr>
            <w:r>
              <w:rPr>
                <w:rFonts w:ascii="Calibri" w:hAnsi="Calibri"/>
                <w:b/>
                <w:bCs/>
                <w:sz w:val="26"/>
                <w:szCs w:val="26"/>
              </w:rPr>
              <w:t xml:space="preserve">Valutazione Probabilità </w:t>
            </w:r>
          </w:p>
        </w:tc>
        <w:tc>
          <w:tcPr>
            <w:tcW w:w="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82DE2" w:rsidRDefault="00582DE2" w:rsidP="0046063C">
            <w:pPr>
              <w:spacing w:before="100" w:after="100"/>
            </w:pPr>
            <w:r>
              <w:rPr>
                <w:rFonts w:ascii="Calibri" w:hAnsi="Calibri"/>
                <w:b/>
                <w:bCs/>
                <w:sz w:val="26"/>
                <w:szCs w:val="26"/>
              </w:rPr>
              <w:t xml:space="preserve">I1 </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82DE2" w:rsidRDefault="00582DE2" w:rsidP="0046063C">
            <w:pPr>
              <w:spacing w:before="100" w:after="100"/>
            </w:pPr>
            <w:r>
              <w:rPr>
                <w:rFonts w:ascii="Calibri" w:hAnsi="Calibri"/>
                <w:b/>
                <w:bCs/>
                <w:sz w:val="26"/>
                <w:szCs w:val="26"/>
              </w:rPr>
              <w:t xml:space="preserve">I2 </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82DE2" w:rsidRDefault="00582DE2" w:rsidP="0046063C">
            <w:pPr>
              <w:spacing w:before="100" w:after="100"/>
            </w:pPr>
            <w:r>
              <w:rPr>
                <w:rFonts w:ascii="Calibri" w:hAnsi="Calibri"/>
                <w:b/>
                <w:bCs/>
                <w:sz w:val="26"/>
                <w:szCs w:val="26"/>
              </w:rPr>
              <w:t xml:space="preserve">I3 </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82DE2" w:rsidRDefault="00582DE2" w:rsidP="0046063C">
            <w:pPr>
              <w:spacing w:before="100" w:after="100"/>
            </w:pPr>
            <w:r>
              <w:rPr>
                <w:rFonts w:ascii="Calibri" w:hAnsi="Calibri"/>
                <w:b/>
                <w:bCs/>
                <w:sz w:val="26"/>
                <w:szCs w:val="26"/>
              </w:rPr>
              <w:t xml:space="preserve">I4 </w:t>
            </w:r>
          </w:p>
        </w:tc>
        <w:tc>
          <w:tcPr>
            <w:tcW w:w="2551"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15" w:type="dxa"/>
              <w:right w:w="15" w:type="dxa"/>
            </w:tcMar>
            <w:vAlign w:val="center"/>
          </w:tcPr>
          <w:p w:rsidR="00582DE2" w:rsidRDefault="00582DE2" w:rsidP="0046063C">
            <w:pPr>
              <w:spacing w:before="100" w:after="100"/>
              <w:jc w:val="center"/>
            </w:pPr>
            <w:r>
              <w:rPr>
                <w:rFonts w:ascii="Calibri" w:hAnsi="Calibri"/>
                <w:b/>
                <w:bCs/>
                <w:sz w:val="26"/>
                <w:szCs w:val="26"/>
              </w:rPr>
              <w:t>Valutazione Impatto</w:t>
            </w:r>
          </w:p>
        </w:tc>
      </w:tr>
      <w:tr w:rsidR="00582DE2" w:rsidTr="0046063C">
        <w:trPr>
          <w:trHeight w:val="404"/>
        </w:trPr>
        <w:tc>
          <w:tcPr>
            <w:tcW w:w="1184" w:type="dxa"/>
            <w:tcBorders>
              <w:top w:val="single" w:sz="4" w:space="0" w:color="000000"/>
              <w:left w:val="single" w:sz="4" w:space="0" w:color="000000"/>
              <w:right w:val="single" w:sz="4" w:space="0" w:color="000000"/>
            </w:tcBorders>
            <w:shd w:val="clear" w:color="auto" w:fill="auto"/>
            <w:tcMar>
              <w:top w:w="15" w:type="dxa"/>
              <w:left w:w="15" w:type="dxa"/>
              <w:bottom w:w="15" w:type="dxa"/>
              <w:right w:w="15" w:type="dxa"/>
            </w:tcMar>
            <w:vAlign w:val="center"/>
          </w:tcPr>
          <w:p w:rsidR="00582DE2" w:rsidRDefault="00582DE2" w:rsidP="0046063C">
            <w:pPr>
              <w:spacing w:before="100" w:after="100"/>
            </w:pPr>
            <w:r>
              <w:rPr>
                <w:rFonts w:ascii="Calibri" w:hAnsi="Calibri"/>
                <w:sz w:val="26"/>
                <w:szCs w:val="26"/>
              </w:rPr>
              <w:t xml:space="preserve">Processo 1 </w:t>
            </w:r>
          </w:p>
        </w:tc>
        <w:tc>
          <w:tcPr>
            <w:tcW w:w="308" w:type="dxa"/>
            <w:tcBorders>
              <w:top w:val="single" w:sz="4" w:space="0" w:color="000000"/>
              <w:left w:val="single" w:sz="4" w:space="0" w:color="000000"/>
              <w:right w:val="single" w:sz="4" w:space="0" w:color="000000"/>
            </w:tcBorders>
            <w:shd w:val="clear" w:color="auto" w:fill="auto"/>
            <w:tcMar>
              <w:top w:w="15" w:type="dxa"/>
              <w:left w:w="15" w:type="dxa"/>
              <w:bottom w:w="15" w:type="dxa"/>
              <w:right w:w="15" w:type="dxa"/>
            </w:tcMar>
            <w:vAlign w:val="center"/>
          </w:tcPr>
          <w:p w:rsidR="00582DE2" w:rsidRDefault="00582DE2" w:rsidP="0046063C">
            <w:pPr>
              <w:rPr>
                <w:i/>
                <w:iCs/>
              </w:rPr>
            </w:pPr>
          </w:p>
        </w:tc>
        <w:tc>
          <w:tcPr>
            <w:tcW w:w="308" w:type="dxa"/>
            <w:tcBorders>
              <w:top w:val="single" w:sz="4" w:space="0" w:color="000000"/>
              <w:left w:val="single" w:sz="4" w:space="0" w:color="000000"/>
              <w:right w:val="single" w:sz="4" w:space="0" w:color="000000"/>
            </w:tcBorders>
            <w:shd w:val="clear" w:color="auto" w:fill="auto"/>
            <w:tcMar>
              <w:top w:w="15" w:type="dxa"/>
              <w:left w:w="15" w:type="dxa"/>
              <w:bottom w:w="15" w:type="dxa"/>
              <w:right w:w="15" w:type="dxa"/>
            </w:tcMar>
            <w:vAlign w:val="center"/>
          </w:tcPr>
          <w:p w:rsidR="00582DE2" w:rsidRDefault="00582DE2" w:rsidP="0046063C">
            <w:pPr>
              <w:rPr>
                <w:i/>
                <w:iCs/>
              </w:rPr>
            </w:pPr>
          </w:p>
        </w:tc>
        <w:tc>
          <w:tcPr>
            <w:tcW w:w="308" w:type="dxa"/>
            <w:tcBorders>
              <w:top w:val="single" w:sz="4" w:space="0" w:color="000000"/>
              <w:left w:val="single" w:sz="4" w:space="0" w:color="000000"/>
              <w:right w:val="single" w:sz="4" w:space="0" w:color="000000"/>
            </w:tcBorders>
            <w:shd w:val="clear" w:color="auto" w:fill="auto"/>
            <w:tcMar>
              <w:top w:w="15" w:type="dxa"/>
              <w:left w:w="15" w:type="dxa"/>
              <w:bottom w:w="15" w:type="dxa"/>
              <w:right w:w="15" w:type="dxa"/>
            </w:tcMar>
            <w:vAlign w:val="center"/>
          </w:tcPr>
          <w:p w:rsidR="00582DE2" w:rsidRDefault="00582DE2" w:rsidP="0046063C">
            <w:pPr>
              <w:rPr>
                <w:i/>
                <w:iCs/>
              </w:rPr>
            </w:pPr>
          </w:p>
        </w:tc>
        <w:tc>
          <w:tcPr>
            <w:tcW w:w="308" w:type="dxa"/>
            <w:tcBorders>
              <w:top w:val="single" w:sz="4" w:space="0" w:color="000000"/>
              <w:left w:val="single" w:sz="4" w:space="0" w:color="000000"/>
              <w:right w:val="single" w:sz="4" w:space="0" w:color="000000"/>
            </w:tcBorders>
            <w:shd w:val="clear" w:color="auto" w:fill="auto"/>
            <w:tcMar>
              <w:top w:w="15" w:type="dxa"/>
              <w:left w:w="15" w:type="dxa"/>
              <w:bottom w:w="15" w:type="dxa"/>
              <w:right w:w="15" w:type="dxa"/>
            </w:tcMar>
            <w:vAlign w:val="center"/>
          </w:tcPr>
          <w:p w:rsidR="00582DE2" w:rsidRDefault="00582DE2" w:rsidP="0046063C">
            <w:pPr>
              <w:rPr>
                <w:i/>
                <w:iCs/>
              </w:rPr>
            </w:pPr>
          </w:p>
        </w:tc>
        <w:tc>
          <w:tcPr>
            <w:tcW w:w="308" w:type="dxa"/>
            <w:tcBorders>
              <w:top w:val="single" w:sz="4" w:space="0" w:color="000000"/>
              <w:left w:val="single" w:sz="4" w:space="0" w:color="000000"/>
              <w:right w:val="single" w:sz="4" w:space="0" w:color="000000"/>
            </w:tcBorders>
            <w:shd w:val="clear" w:color="auto" w:fill="auto"/>
            <w:tcMar>
              <w:top w:w="15" w:type="dxa"/>
              <w:left w:w="15" w:type="dxa"/>
              <w:bottom w:w="15" w:type="dxa"/>
              <w:right w:w="15" w:type="dxa"/>
            </w:tcMar>
            <w:vAlign w:val="center"/>
          </w:tcPr>
          <w:p w:rsidR="00582DE2" w:rsidRDefault="00582DE2" w:rsidP="0046063C">
            <w:pPr>
              <w:rPr>
                <w:i/>
                <w:iCs/>
              </w:rPr>
            </w:pPr>
          </w:p>
        </w:tc>
        <w:tc>
          <w:tcPr>
            <w:tcW w:w="308" w:type="dxa"/>
            <w:tcBorders>
              <w:top w:val="single" w:sz="4" w:space="0" w:color="000000"/>
              <w:left w:val="single" w:sz="4" w:space="0" w:color="000000"/>
              <w:right w:val="single" w:sz="4" w:space="0" w:color="000000"/>
            </w:tcBorders>
            <w:shd w:val="clear" w:color="auto" w:fill="auto"/>
            <w:tcMar>
              <w:top w:w="15" w:type="dxa"/>
              <w:left w:w="15" w:type="dxa"/>
              <w:bottom w:w="15" w:type="dxa"/>
              <w:right w:w="15" w:type="dxa"/>
            </w:tcMar>
            <w:vAlign w:val="center"/>
          </w:tcPr>
          <w:p w:rsidR="00582DE2" w:rsidRDefault="00582DE2" w:rsidP="0046063C">
            <w:pPr>
              <w:rPr>
                <w:i/>
                <w:iCs/>
              </w:rPr>
            </w:pPr>
          </w:p>
        </w:tc>
        <w:tc>
          <w:tcPr>
            <w:tcW w:w="308" w:type="dxa"/>
            <w:tcBorders>
              <w:top w:val="single" w:sz="4" w:space="0" w:color="000000"/>
              <w:left w:val="single" w:sz="4" w:space="0" w:color="000000"/>
              <w:right w:val="single" w:sz="4" w:space="0" w:color="000000"/>
            </w:tcBorders>
            <w:shd w:val="clear" w:color="auto" w:fill="auto"/>
            <w:tcMar>
              <w:top w:w="15" w:type="dxa"/>
              <w:left w:w="15" w:type="dxa"/>
              <w:bottom w:w="15" w:type="dxa"/>
              <w:right w:w="15" w:type="dxa"/>
            </w:tcMar>
            <w:vAlign w:val="center"/>
          </w:tcPr>
          <w:p w:rsidR="00582DE2" w:rsidRDefault="00582DE2" w:rsidP="0046063C">
            <w:pPr>
              <w:rPr>
                <w:i/>
                <w:iCs/>
              </w:rPr>
            </w:pPr>
          </w:p>
        </w:tc>
        <w:tc>
          <w:tcPr>
            <w:tcW w:w="308" w:type="dxa"/>
            <w:tcBorders>
              <w:top w:val="single" w:sz="4" w:space="0" w:color="000000"/>
              <w:left w:val="single" w:sz="4" w:space="0" w:color="000000"/>
              <w:right w:val="single" w:sz="4" w:space="0" w:color="000000"/>
            </w:tcBorders>
            <w:shd w:val="clear" w:color="auto" w:fill="auto"/>
            <w:tcMar>
              <w:top w:w="15" w:type="dxa"/>
              <w:left w:w="15" w:type="dxa"/>
              <w:bottom w:w="15" w:type="dxa"/>
              <w:right w:w="15" w:type="dxa"/>
            </w:tcMar>
            <w:vAlign w:val="center"/>
          </w:tcPr>
          <w:p w:rsidR="00582DE2" w:rsidRDefault="00582DE2" w:rsidP="0046063C">
            <w:pPr>
              <w:rPr>
                <w:i/>
                <w:iCs/>
              </w:rPr>
            </w:pPr>
          </w:p>
        </w:tc>
        <w:tc>
          <w:tcPr>
            <w:tcW w:w="1831" w:type="dxa"/>
            <w:tcBorders>
              <w:left w:val="single" w:sz="4" w:space="0" w:color="000000"/>
              <w:right w:val="single" w:sz="4" w:space="0" w:color="000000"/>
            </w:tcBorders>
            <w:shd w:val="clear" w:color="auto" w:fill="auto"/>
            <w:tcMar>
              <w:top w:w="15" w:type="dxa"/>
              <w:left w:w="15" w:type="dxa"/>
              <w:bottom w:w="15" w:type="dxa"/>
              <w:right w:w="15" w:type="dxa"/>
            </w:tcMar>
            <w:vAlign w:val="center"/>
          </w:tcPr>
          <w:p w:rsidR="00582DE2" w:rsidRDefault="00582DE2" w:rsidP="0046063C">
            <w:pPr>
              <w:rPr>
                <w:i/>
                <w:iCs/>
              </w:rPr>
            </w:pPr>
          </w:p>
        </w:tc>
        <w:tc>
          <w:tcPr>
            <w:tcW w:w="328" w:type="dxa"/>
            <w:tcBorders>
              <w:top w:val="single" w:sz="4" w:space="0" w:color="000000"/>
              <w:left w:val="single" w:sz="4" w:space="0" w:color="000000"/>
              <w:right w:val="single" w:sz="4" w:space="0" w:color="000000"/>
            </w:tcBorders>
            <w:shd w:val="clear" w:color="auto" w:fill="auto"/>
            <w:tcMar>
              <w:top w:w="15" w:type="dxa"/>
              <w:left w:w="15" w:type="dxa"/>
              <w:bottom w:w="15" w:type="dxa"/>
              <w:right w:w="15" w:type="dxa"/>
            </w:tcMar>
            <w:vAlign w:val="center"/>
          </w:tcPr>
          <w:p w:rsidR="00582DE2" w:rsidRDefault="00582DE2" w:rsidP="0046063C">
            <w:pPr>
              <w:rPr>
                <w:i/>
                <w:iCs/>
              </w:rPr>
            </w:pPr>
          </w:p>
        </w:tc>
        <w:tc>
          <w:tcPr>
            <w:tcW w:w="425" w:type="dxa"/>
            <w:tcBorders>
              <w:top w:val="single" w:sz="4" w:space="0" w:color="000000"/>
              <w:left w:val="single" w:sz="4" w:space="0" w:color="000000"/>
              <w:right w:val="single" w:sz="4" w:space="0" w:color="000000"/>
            </w:tcBorders>
            <w:shd w:val="clear" w:color="auto" w:fill="auto"/>
            <w:tcMar>
              <w:top w:w="15" w:type="dxa"/>
              <w:left w:w="15" w:type="dxa"/>
              <w:bottom w:w="15" w:type="dxa"/>
              <w:right w:w="15" w:type="dxa"/>
            </w:tcMar>
            <w:vAlign w:val="center"/>
          </w:tcPr>
          <w:p w:rsidR="00582DE2" w:rsidRDefault="00582DE2" w:rsidP="0046063C">
            <w:pPr>
              <w:rPr>
                <w:i/>
                <w:iCs/>
              </w:rPr>
            </w:pPr>
          </w:p>
        </w:tc>
        <w:tc>
          <w:tcPr>
            <w:tcW w:w="426" w:type="dxa"/>
            <w:tcBorders>
              <w:top w:val="single" w:sz="4" w:space="0" w:color="000000"/>
              <w:left w:val="single" w:sz="4" w:space="0" w:color="000000"/>
              <w:right w:val="single" w:sz="4" w:space="0" w:color="000000"/>
            </w:tcBorders>
            <w:shd w:val="clear" w:color="auto" w:fill="auto"/>
            <w:tcMar>
              <w:top w:w="15" w:type="dxa"/>
              <w:left w:w="15" w:type="dxa"/>
              <w:bottom w:w="15" w:type="dxa"/>
              <w:right w:w="15" w:type="dxa"/>
            </w:tcMar>
            <w:vAlign w:val="center"/>
          </w:tcPr>
          <w:p w:rsidR="00582DE2" w:rsidRDefault="00582DE2" w:rsidP="0046063C">
            <w:pPr>
              <w:rPr>
                <w:i/>
                <w:iCs/>
              </w:rPr>
            </w:pPr>
          </w:p>
        </w:tc>
        <w:tc>
          <w:tcPr>
            <w:tcW w:w="425" w:type="dxa"/>
            <w:tcBorders>
              <w:top w:val="single" w:sz="4" w:space="0" w:color="000000"/>
              <w:left w:val="single" w:sz="4" w:space="0" w:color="000000"/>
              <w:right w:val="single" w:sz="4" w:space="0" w:color="000000"/>
            </w:tcBorders>
            <w:shd w:val="clear" w:color="auto" w:fill="auto"/>
            <w:tcMar>
              <w:top w:w="15" w:type="dxa"/>
              <w:left w:w="15" w:type="dxa"/>
              <w:bottom w:w="15" w:type="dxa"/>
              <w:right w:w="15" w:type="dxa"/>
            </w:tcMar>
            <w:vAlign w:val="center"/>
          </w:tcPr>
          <w:p w:rsidR="00582DE2" w:rsidRDefault="00582DE2" w:rsidP="0046063C">
            <w:pPr>
              <w:rPr>
                <w:i/>
                <w:iCs/>
              </w:rPr>
            </w:pPr>
          </w:p>
        </w:tc>
        <w:tc>
          <w:tcPr>
            <w:tcW w:w="2551" w:type="dxa"/>
            <w:tcBorders>
              <w:top w:val="single" w:sz="4" w:space="0" w:color="000000"/>
              <w:left w:val="single" w:sz="4" w:space="0" w:color="000000"/>
              <w:right w:val="single" w:sz="8" w:space="0" w:color="000000"/>
            </w:tcBorders>
            <w:shd w:val="clear" w:color="auto" w:fill="auto"/>
            <w:tcMar>
              <w:top w:w="15" w:type="dxa"/>
              <w:left w:w="15" w:type="dxa"/>
              <w:bottom w:w="15" w:type="dxa"/>
              <w:right w:w="15" w:type="dxa"/>
            </w:tcMar>
            <w:vAlign w:val="center"/>
          </w:tcPr>
          <w:p w:rsidR="00582DE2" w:rsidRDefault="00582DE2" w:rsidP="0046063C">
            <w:pPr>
              <w:rPr>
                <w:i/>
                <w:iCs/>
              </w:rPr>
            </w:pPr>
          </w:p>
        </w:tc>
      </w:tr>
    </w:tbl>
    <w:p w:rsidR="00582DE2" w:rsidRDefault="00582DE2" w:rsidP="00582DE2">
      <w:pPr>
        <w:pStyle w:val="Paragrafoelenco"/>
        <w:ind w:left="1788"/>
        <w:jc w:val="both"/>
        <w:rPr>
          <w:rFonts w:ascii="Arial" w:hAnsi="Arial" w:cs="Arial"/>
          <w:bCs/>
          <w:color w:val="000000"/>
          <w:sz w:val="21"/>
          <w:szCs w:val="21"/>
        </w:rPr>
      </w:pPr>
    </w:p>
    <w:p w:rsidR="00582DE2" w:rsidRDefault="00582DE2" w:rsidP="00582DE2">
      <w:pPr>
        <w:pStyle w:val="Paragrafoelenco"/>
        <w:numPr>
          <w:ilvl w:val="0"/>
          <w:numId w:val="38"/>
        </w:numPr>
        <w:jc w:val="both"/>
      </w:pPr>
      <w:r>
        <w:rPr>
          <w:rFonts w:ascii="Arial" w:hAnsi="Arial" w:cs="Arial"/>
          <w:b/>
          <w:bCs/>
          <w:color w:val="000000"/>
          <w:sz w:val="21"/>
          <w:szCs w:val="21"/>
        </w:rPr>
        <w:t>Attribuzione di un livello di rischiosità a ciascun processo</w:t>
      </w:r>
      <w:r>
        <w:rPr>
          <w:rFonts w:ascii="Arial" w:hAnsi="Arial" w:cs="Arial"/>
          <w:bCs/>
          <w:color w:val="000000"/>
          <w:sz w:val="21"/>
          <w:szCs w:val="21"/>
        </w:rPr>
        <w:t>, articolato su cinque livelli: rischio alto, rischio critico, rischio medio, rischio basso, rischio minimo sulla base del livello assunto dal valore sintetico degli indicatori di probabilità e impatto, calcolato secondo le modalità di cui alla fase precedente. E’ stato quindi identificato il livello di rischio di ciascun processo, attraverso la combinazione logica dei due valori sintetici di probabilità e impatto, come da tabella che segue:</w:t>
      </w:r>
    </w:p>
    <w:p w:rsidR="00582DE2" w:rsidRDefault="00582DE2" w:rsidP="00582DE2">
      <w:pPr>
        <w:autoSpaceDE w:val="0"/>
        <w:jc w:val="both"/>
        <w:rPr>
          <w:rFonts w:ascii="Arial" w:hAnsi="Arial" w:cs="Arial"/>
          <w:i/>
          <w:iCs/>
          <w:color w:val="000000"/>
          <w:sz w:val="21"/>
          <w:szCs w:val="21"/>
        </w:rPr>
      </w:pPr>
    </w:p>
    <w:p w:rsidR="00582DE2" w:rsidRDefault="00582DE2" w:rsidP="00582DE2">
      <w:pPr>
        <w:autoSpaceDE w:val="0"/>
        <w:jc w:val="both"/>
        <w:rPr>
          <w:rFonts w:ascii="Arial" w:hAnsi="Arial" w:cs="Arial"/>
          <w:i/>
          <w:iCs/>
          <w:color w:val="000000"/>
          <w:sz w:val="21"/>
          <w:szCs w:val="21"/>
        </w:rPr>
      </w:pPr>
    </w:p>
    <w:p w:rsidR="00582DE2" w:rsidRDefault="004E1806" w:rsidP="00582DE2">
      <w:pPr>
        <w:autoSpaceDE w:val="0"/>
        <w:ind w:left="708"/>
        <w:jc w:val="both"/>
      </w:pPr>
      <w:r w:rsidRPr="00582DE2">
        <w:rPr>
          <w:rFonts w:ascii="Roboto" w:hAnsi="Roboto"/>
          <w:noProof/>
          <w:color w:val="000000"/>
          <w:sz w:val="20"/>
          <w:szCs w:val="20"/>
        </w:rPr>
        <w:drawing>
          <wp:inline distT="0" distB="0" distL="0" distR="0">
            <wp:extent cx="5524500" cy="2314575"/>
            <wp:effectExtent l="0" t="0" r="0" b="0"/>
            <wp:docPr id="3" name="Immagine 6" descr="Immagine che contiene screensho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Immagine che contiene screenshot&#10;&#10;Descrizione generata automa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4500" cy="2314575"/>
                    </a:xfrm>
                    <a:prstGeom prst="rect">
                      <a:avLst/>
                    </a:prstGeom>
                    <a:noFill/>
                    <a:ln>
                      <a:noFill/>
                    </a:ln>
                  </pic:spPr>
                </pic:pic>
              </a:graphicData>
            </a:graphic>
          </wp:inline>
        </w:drawing>
      </w:r>
    </w:p>
    <w:p w:rsidR="00582DE2" w:rsidRDefault="00582DE2" w:rsidP="00582DE2">
      <w:pPr>
        <w:autoSpaceDE w:val="0"/>
        <w:jc w:val="both"/>
        <w:rPr>
          <w:rFonts w:ascii="Arial" w:hAnsi="Arial" w:cs="Arial"/>
          <w:i/>
          <w:iCs/>
          <w:color w:val="000000"/>
          <w:sz w:val="21"/>
          <w:szCs w:val="21"/>
        </w:rPr>
      </w:pPr>
    </w:p>
    <w:p w:rsidR="00582DE2" w:rsidRDefault="00582DE2" w:rsidP="00582DE2">
      <w:pPr>
        <w:autoSpaceDE w:val="0"/>
        <w:jc w:val="both"/>
        <w:rPr>
          <w:rFonts w:ascii="Arial" w:hAnsi="Arial" w:cs="Arial"/>
          <w:i/>
          <w:iCs/>
          <w:color w:val="000000"/>
          <w:sz w:val="21"/>
          <w:szCs w:val="21"/>
        </w:rPr>
      </w:pPr>
    </w:p>
    <w:p w:rsidR="00582DE2" w:rsidRDefault="00582DE2" w:rsidP="00582DE2">
      <w:pPr>
        <w:autoSpaceDE w:val="0"/>
        <w:jc w:val="both"/>
        <w:rPr>
          <w:rFonts w:ascii="Arial" w:hAnsi="Arial" w:cs="Arial"/>
          <w:b/>
          <w:iCs/>
          <w:color w:val="000000"/>
          <w:sz w:val="21"/>
          <w:szCs w:val="21"/>
        </w:rPr>
      </w:pPr>
      <w:r>
        <w:rPr>
          <w:rFonts w:ascii="Arial" w:hAnsi="Arial" w:cs="Arial"/>
          <w:b/>
          <w:iCs/>
          <w:color w:val="000000"/>
          <w:sz w:val="21"/>
          <w:szCs w:val="21"/>
        </w:rPr>
        <w:t>7. TRATTAMENTO DEL RISCHIO</w:t>
      </w:r>
    </w:p>
    <w:p w:rsidR="00582DE2" w:rsidRDefault="00582DE2" w:rsidP="00582DE2">
      <w:pPr>
        <w:autoSpaceDE w:val="0"/>
        <w:jc w:val="both"/>
        <w:rPr>
          <w:rFonts w:ascii="Arial" w:hAnsi="Arial" w:cs="Arial"/>
          <w:iCs/>
          <w:color w:val="000000"/>
          <w:sz w:val="21"/>
          <w:szCs w:val="21"/>
        </w:rPr>
      </w:pPr>
    </w:p>
    <w:p w:rsidR="00582DE2" w:rsidRPr="009C5FEC" w:rsidRDefault="00582DE2" w:rsidP="00582DE2">
      <w:pPr>
        <w:autoSpaceDE w:val="0"/>
        <w:jc w:val="both"/>
        <w:rPr>
          <w:rFonts w:ascii="Arial" w:hAnsi="Arial" w:cs="Arial"/>
          <w:iCs/>
          <w:color w:val="000000"/>
          <w:sz w:val="21"/>
          <w:szCs w:val="21"/>
        </w:rPr>
      </w:pPr>
      <w:r>
        <w:rPr>
          <w:rFonts w:ascii="Arial" w:hAnsi="Arial" w:cs="Arial"/>
          <w:iCs/>
          <w:color w:val="000000"/>
          <w:sz w:val="21"/>
          <w:szCs w:val="21"/>
        </w:rPr>
        <w:t xml:space="preserve">Il trattamento del rischio è la fase volta ad individuare i correttivi e le modalità più idonee a prevenire i rischi, sulla base delle priorità emerse in sede di valutazione degli eventi rischiosi. In tale fase, le amministrazioni non devono limitarsi a proporre delle misure astratte o generali, ma devono progettare l’attuazione di misure specifiche e puntuali e prevedere scadenze ragionevoli in base alle priorità di intervento rilevate e alle risorse disponibili </w:t>
      </w:r>
      <w:r w:rsidRPr="009C5FEC">
        <w:rPr>
          <w:rFonts w:ascii="Arial" w:hAnsi="Arial" w:cs="Arial"/>
          <w:iCs/>
          <w:color w:val="000000"/>
          <w:sz w:val="21"/>
          <w:szCs w:val="21"/>
        </w:rPr>
        <w:t xml:space="preserve">(Allegato </w:t>
      </w:r>
      <w:r w:rsidR="00941CC6" w:rsidRPr="009C5FEC">
        <w:rPr>
          <w:rFonts w:ascii="Arial" w:hAnsi="Arial" w:cs="Arial"/>
          <w:iCs/>
          <w:color w:val="000000"/>
          <w:sz w:val="21"/>
          <w:szCs w:val="21"/>
        </w:rPr>
        <w:t>G</w:t>
      </w:r>
      <w:r w:rsidR="009C5FEC">
        <w:rPr>
          <w:rFonts w:ascii="Arial" w:hAnsi="Arial" w:cs="Arial"/>
          <w:iCs/>
          <w:color w:val="000000"/>
          <w:sz w:val="21"/>
          <w:szCs w:val="21"/>
        </w:rPr>
        <w:t>)</w:t>
      </w:r>
      <w:r w:rsidRPr="009C5FEC">
        <w:rPr>
          <w:rFonts w:ascii="Arial" w:hAnsi="Arial" w:cs="Arial"/>
          <w:iCs/>
          <w:color w:val="000000"/>
          <w:sz w:val="21"/>
          <w:szCs w:val="21"/>
        </w:rPr>
        <w:t>).</w:t>
      </w:r>
    </w:p>
    <w:p w:rsidR="00582DE2" w:rsidRDefault="00582DE2" w:rsidP="00582DE2">
      <w:pPr>
        <w:autoSpaceDE w:val="0"/>
        <w:jc w:val="both"/>
      </w:pPr>
      <w:r>
        <w:rPr>
          <w:rFonts w:ascii="Arial" w:hAnsi="Arial" w:cs="Arial"/>
          <w:bCs/>
          <w:iCs/>
          <w:color w:val="000000"/>
          <w:sz w:val="21"/>
          <w:szCs w:val="21"/>
        </w:rPr>
        <w:t>Il PNA suggerisce le seguenti misure, che possono essere applicate sia come “generali” che come “specifiche”</w:t>
      </w:r>
      <w:r>
        <w:rPr>
          <w:rStyle w:val="Rimandonotaapidipagina"/>
          <w:rFonts w:ascii="Arial" w:eastAsia="Calibri" w:hAnsi="Arial" w:cs="Arial"/>
          <w:color w:val="000000"/>
          <w:sz w:val="21"/>
          <w:szCs w:val="21"/>
        </w:rPr>
        <w:footnoteReference w:id="2"/>
      </w:r>
      <w:r>
        <w:rPr>
          <w:rFonts w:ascii="Arial" w:hAnsi="Arial" w:cs="Arial"/>
          <w:color w:val="000000"/>
          <w:sz w:val="21"/>
          <w:szCs w:val="21"/>
        </w:rPr>
        <w:t>:</w:t>
      </w:r>
    </w:p>
    <w:p w:rsidR="00582DE2" w:rsidRDefault="00582DE2" w:rsidP="00582DE2">
      <w:pPr>
        <w:autoSpaceDE w:val="0"/>
        <w:jc w:val="both"/>
      </w:pPr>
    </w:p>
    <w:p w:rsidR="00582DE2" w:rsidRDefault="00582DE2" w:rsidP="00582DE2">
      <w:pPr>
        <w:autoSpaceDE w:val="0"/>
        <w:jc w:val="both"/>
      </w:pPr>
      <w:r>
        <w:rPr>
          <w:rFonts w:ascii="Arial" w:hAnsi="Arial" w:cs="Arial"/>
          <w:color w:val="000000"/>
          <w:sz w:val="21"/>
          <w:szCs w:val="21"/>
        </w:rPr>
        <w:t>1. controllo;</w:t>
      </w:r>
    </w:p>
    <w:p w:rsidR="00582DE2" w:rsidRDefault="00582DE2" w:rsidP="00582DE2">
      <w:pPr>
        <w:autoSpaceDE w:val="0"/>
        <w:jc w:val="both"/>
      </w:pPr>
      <w:r>
        <w:rPr>
          <w:rFonts w:ascii="Arial" w:hAnsi="Arial" w:cs="Arial"/>
          <w:color w:val="000000"/>
          <w:sz w:val="21"/>
          <w:szCs w:val="21"/>
        </w:rPr>
        <w:t>2. trasparenza;</w:t>
      </w:r>
    </w:p>
    <w:p w:rsidR="00582DE2" w:rsidRDefault="00582DE2" w:rsidP="00582DE2">
      <w:pPr>
        <w:autoSpaceDE w:val="0"/>
        <w:jc w:val="both"/>
      </w:pPr>
      <w:r>
        <w:rPr>
          <w:rFonts w:ascii="Arial" w:hAnsi="Arial" w:cs="Arial"/>
          <w:color w:val="000000"/>
          <w:sz w:val="21"/>
          <w:szCs w:val="21"/>
        </w:rPr>
        <w:t>3. definizione e promozione dell’etica e di standard di comportamento;</w:t>
      </w:r>
    </w:p>
    <w:p w:rsidR="00582DE2" w:rsidRDefault="00582DE2" w:rsidP="00582DE2">
      <w:pPr>
        <w:autoSpaceDE w:val="0"/>
        <w:jc w:val="both"/>
      </w:pPr>
      <w:r>
        <w:rPr>
          <w:rFonts w:ascii="Arial" w:hAnsi="Arial" w:cs="Arial"/>
          <w:color w:val="000000"/>
          <w:sz w:val="21"/>
          <w:szCs w:val="21"/>
        </w:rPr>
        <w:t>4. regolamentazione;</w:t>
      </w:r>
    </w:p>
    <w:p w:rsidR="00582DE2" w:rsidRDefault="00582DE2" w:rsidP="00582DE2">
      <w:pPr>
        <w:autoSpaceDE w:val="0"/>
        <w:jc w:val="both"/>
      </w:pPr>
      <w:r>
        <w:rPr>
          <w:rFonts w:ascii="Arial" w:hAnsi="Arial" w:cs="Arial"/>
          <w:color w:val="000000"/>
          <w:sz w:val="21"/>
          <w:szCs w:val="21"/>
        </w:rPr>
        <w:t>5. semplificazione;</w:t>
      </w:r>
    </w:p>
    <w:p w:rsidR="00582DE2" w:rsidRDefault="00582DE2" w:rsidP="00582DE2">
      <w:pPr>
        <w:autoSpaceDE w:val="0"/>
        <w:jc w:val="both"/>
      </w:pPr>
      <w:r>
        <w:rPr>
          <w:rFonts w:ascii="Arial" w:hAnsi="Arial" w:cs="Arial"/>
          <w:color w:val="000000"/>
          <w:sz w:val="21"/>
          <w:szCs w:val="21"/>
        </w:rPr>
        <w:t>6. formazione;</w:t>
      </w:r>
    </w:p>
    <w:p w:rsidR="00582DE2" w:rsidRDefault="00582DE2" w:rsidP="00582DE2">
      <w:pPr>
        <w:autoSpaceDE w:val="0"/>
        <w:jc w:val="both"/>
      </w:pPr>
      <w:r>
        <w:rPr>
          <w:rFonts w:ascii="Arial" w:hAnsi="Arial" w:cs="Arial"/>
          <w:color w:val="000000"/>
          <w:sz w:val="21"/>
          <w:szCs w:val="21"/>
        </w:rPr>
        <w:t>7. sensibilizzazione e partecipazione;</w:t>
      </w:r>
    </w:p>
    <w:p w:rsidR="00582DE2" w:rsidRDefault="00582DE2" w:rsidP="00582DE2">
      <w:pPr>
        <w:autoSpaceDE w:val="0"/>
        <w:jc w:val="both"/>
      </w:pPr>
      <w:r>
        <w:rPr>
          <w:rFonts w:ascii="Arial" w:hAnsi="Arial" w:cs="Arial"/>
          <w:color w:val="000000"/>
          <w:sz w:val="21"/>
          <w:szCs w:val="21"/>
        </w:rPr>
        <w:t>8. rotazione;</w:t>
      </w:r>
    </w:p>
    <w:p w:rsidR="00582DE2" w:rsidRDefault="00582DE2" w:rsidP="00582DE2">
      <w:pPr>
        <w:autoSpaceDE w:val="0"/>
        <w:jc w:val="both"/>
      </w:pPr>
      <w:r>
        <w:rPr>
          <w:rFonts w:ascii="Arial" w:hAnsi="Arial" w:cs="Arial"/>
          <w:color w:val="000000"/>
          <w:sz w:val="21"/>
          <w:szCs w:val="21"/>
        </w:rPr>
        <w:t>9. segnalazione e protezione;</w:t>
      </w:r>
    </w:p>
    <w:p w:rsidR="00582DE2" w:rsidRDefault="00582DE2" w:rsidP="00582DE2">
      <w:pPr>
        <w:autoSpaceDE w:val="0"/>
        <w:jc w:val="both"/>
      </w:pPr>
      <w:r>
        <w:rPr>
          <w:rFonts w:ascii="Arial" w:hAnsi="Arial" w:cs="Arial"/>
          <w:color w:val="000000"/>
          <w:sz w:val="21"/>
          <w:szCs w:val="21"/>
        </w:rPr>
        <w:t>10. disciplina del conflitto di interessi;</w:t>
      </w:r>
    </w:p>
    <w:p w:rsidR="00582DE2" w:rsidRDefault="00582DE2" w:rsidP="00582DE2">
      <w:pPr>
        <w:autoSpaceDE w:val="0"/>
        <w:jc w:val="both"/>
      </w:pPr>
      <w:r>
        <w:rPr>
          <w:rFonts w:ascii="Arial" w:hAnsi="Arial" w:cs="Arial"/>
          <w:color w:val="000000"/>
          <w:sz w:val="21"/>
          <w:szCs w:val="21"/>
        </w:rPr>
        <w:t>11. regolazione dei rapporti con i “rappresentanti di interessi particolari” (lobbies).</w:t>
      </w:r>
    </w:p>
    <w:p w:rsidR="00582DE2" w:rsidRDefault="00582DE2" w:rsidP="00582DE2">
      <w:pPr>
        <w:autoSpaceDE w:val="0"/>
        <w:jc w:val="both"/>
        <w:rPr>
          <w:rFonts w:ascii="Arial" w:hAnsi="Arial" w:cs="Arial"/>
          <w:iCs/>
          <w:color w:val="000000"/>
          <w:sz w:val="21"/>
          <w:szCs w:val="21"/>
        </w:rPr>
      </w:pPr>
    </w:p>
    <w:p w:rsidR="00582DE2" w:rsidRDefault="00582DE2" w:rsidP="00582DE2">
      <w:pPr>
        <w:autoSpaceDE w:val="0"/>
        <w:jc w:val="both"/>
        <w:rPr>
          <w:rFonts w:ascii="Arial" w:hAnsi="Arial" w:cs="Arial"/>
          <w:iCs/>
          <w:color w:val="000000"/>
          <w:sz w:val="21"/>
          <w:szCs w:val="21"/>
        </w:rPr>
      </w:pPr>
      <w:r>
        <w:rPr>
          <w:rFonts w:ascii="Arial" w:hAnsi="Arial" w:cs="Arial"/>
          <w:iCs/>
          <w:color w:val="000000"/>
          <w:sz w:val="21"/>
          <w:szCs w:val="21"/>
        </w:rPr>
        <w:t>A titolo esemplificativo, una misura di trasparenza può essere programmata come misura “generale” o come misura “specifica”.</w:t>
      </w:r>
    </w:p>
    <w:p w:rsidR="00582DE2" w:rsidRDefault="00582DE2" w:rsidP="00582DE2">
      <w:pPr>
        <w:autoSpaceDE w:val="0"/>
        <w:jc w:val="both"/>
        <w:rPr>
          <w:rFonts w:ascii="Arial" w:hAnsi="Arial" w:cs="Arial"/>
          <w:iCs/>
          <w:color w:val="000000"/>
          <w:sz w:val="21"/>
          <w:szCs w:val="21"/>
        </w:rPr>
      </w:pPr>
    </w:p>
    <w:p w:rsidR="00582DE2" w:rsidRDefault="00582DE2" w:rsidP="00582DE2">
      <w:pPr>
        <w:autoSpaceDE w:val="0"/>
        <w:jc w:val="both"/>
        <w:rPr>
          <w:rFonts w:ascii="Arial" w:hAnsi="Arial" w:cs="Arial"/>
          <w:iCs/>
          <w:color w:val="000000"/>
          <w:sz w:val="21"/>
          <w:szCs w:val="21"/>
        </w:rPr>
      </w:pPr>
      <w:r>
        <w:rPr>
          <w:rFonts w:ascii="Arial" w:hAnsi="Arial" w:cs="Arial"/>
          <w:iCs/>
          <w:color w:val="000000"/>
          <w:sz w:val="21"/>
          <w:szCs w:val="21"/>
        </w:rPr>
        <w:t xml:space="preserve">La misura è generale quando insiste trasversalmente sull’organizzazione, al fine di migliorare complessivamente la trasparenza dell’azione amministrativa (es. la corretta e puntuale applicazione del d.lgs. 33/2013). </w:t>
      </w:r>
    </w:p>
    <w:p w:rsidR="00582DE2" w:rsidRDefault="00582DE2" w:rsidP="00582DE2">
      <w:pPr>
        <w:autoSpaceDE w:val="0"/>
        <w:jc w:val="both"/>
        <w:rPr>
          <w:rFonts w:ascii="Arial" w:hAnsi="Arial" w:cs="Arial"/>
          <w:iCs/>
          <w:color w:val="000000"/>
          <w:sz w:val="21"/>
          <w:szCs w:val="21"/>
        </w:rPr>
      </w:pPr>
      <w:r>
        <w:rPr>
          <w:rFonts w:ascii="Arial" w:hAnsi="Arial" w:cs="Arial"/>
          <w:iCs/>
          <w:color w:val="000000"/>
          <w:sz w:val="21"/>
          <w:szCs w:val="21"/>
        </w:rPr>
        <w:t>La misura è, invece, di tipo specifico, se in risposta a specifici problemi di scarsa trasparenza rilevati tramite l’analisi del rischio trovando, ad esempio, modalità per rendere più trasparenti particolari processi prima “opachi” e maggiormente fruibili informazioni sugli stessi.</w:t>
      </w:r>
    </w:p>
    <w:p w:rsidR="00582DE2" w:rsidRDefault="00582DE2" w:rsidP="00582DE2">
      <w:pPr>
        <w:autoSpaceDE w:val="0"/>
        <w:jc w:val="both"/>
        <w:rPr>
          <w:rFonts w:ascii="Arial" w:hAnsi="Arial" w:cs="Arial"/>
          <w:iCs/>
          <w:color w:val="000000"/>
          <w:sz w:val="21"/>
          <w:szCs w:val="21"/>
        </w:rPr>
      </w:pPr>
    </w:p>
    <w:p w:rsidR="00582DE2" w:rsidRDefault="00582DE2" w:rsidP="00582DE2">
      <w:pPr>
        <w:autoSpaceDE w:val="0"/>
        <w:jc w:val="both"/>
      </w:pPr>
      <w:r w:rsidRPr="009C5FEC">
        <w:rPr>
          <w:rFonts w:ascii="Arial" w:hAnsi="Arial" w:cs="Arial"/>
          <w:iCs/>
          <w:color w:val="000000"/>
          <w:sz w:val="21"/>
          <w:szCs w:val="21"/>
        </w:rPr>
        <w:t xml:space="preserve">Nell’Allegato </w:t>
      </w:r>
      <w:r w:rsidR="00941CC6" w:rsidRPr="009C5FEC">
        <w:rPr>
          <w:rFonts w:ascii="Arial" w:hAnsi="Arial" w:cs="Arial"/>
          <w:iCs/>
          <w:color w:val="000000"/>
          <w:sz w:val="21"/>
          <w:szCs w:val="21"/>
        </w:rPr>
        <w:t>G</w:t>
      </w:r>
      <w:r w:rsidRPr="009C5FEC">
        <w:rPr>
          <w:rFonts w:ascii="Arial" w:hAnsi="Arial" w:cs="Arial"/>
          <w:iCs/>
          <w:color w:val="000000"/>
          <w:sz w:val="21"/>
          <w:szCs w:val="21"/>
        </w:rPr>
        <w:t>) per i rischi individuati sono state adottate le seguenti misure:</w:t>
      </w:r>
    </w:p>
    <w:p w:rsidR="00582DE2" w:rsidRDefault="00582DE2" w:rsidP="00582DE2">
      <w:pPr>
        <w:autoSpaceDE w:val="0"/>
        <w:jc w:val="both"/>
        <w:rPr>
          <w:rFonts w:ascii="Arial" w:hAnsi="Arial" w:cs="Arial"/>
          <w:iCs/>
          <w:color w:val="000000"/>
          <w:sz w:val="21"/>
          <w:szCs w:val="21"/>
        </w:rPr>
      </w:pPr>
    </w:p>
    <w:p w:rsidR="00582DE2" w:rsidRDefault="00582DE2" w:rsidP="00582DE2">
      <w:pPr>
        <w:pStyle w:val="Paragrafoelenco"/>
        <w:numPr>
          <w:ilvl w:val="0"/>
          <w:numId w:val="39"/>
        </w:numPr>
        <w:autoSpaceDE w:val="0"/>
        <w:spacing w:after="0"/>
        <w:ind w:left="714" w:hanging="357"/>
        <w:jc w:val="both"/>
      </w:pPr>
      <w:r>
        <w:rPr>
          <w:rFonts w:ascii="Arial" w:hAnsi="Arial" w:cs="Arial"/>
          <w:color w:val="000000"/>
          <w:sz w:val="21"/>
          <w:szCs w:val="21"/>
        </w:rPr>
        <w:t>controllo</w:t>
      </w:r>
    </w:p>
    <w:p w:rsidR="00582DE2" w:rsidRDefault="00582DE2" w:rsidP="00582DE2">
      <w:pPr>
        <w:pStyle w:val="Paragrafoelenco"/>
        <w:numPr>
          <w:ilvl w:val="0"/>
          <w:numId w:val="39"/>
        </w:numPr>
        <w:autoSpaceDE w:val="0"/>
        <w:spacing w:after="0"/>
        <w:ind w:left="714" w:hanging="357"/>
        <w:jc w:val="both"/>
      </w:pPr>
      <w:r>
        <w:rPr>
          <w:rFonts w:ascii="Arial" w:hAnsi="Arial" w:cs="Arial"/>
          <w:color w:val="000000"/>
          <w:sz w:val="21"/>
          <w:szCs w:val="21"/>
        </w:rPr>
        <w:lastRenderedPageBreak/>
        <w:t>trasparenza</w:t>
      </w:r>
    </w:p>
    <w:p w:rsidR="00582DE2" w:rsidRDefault="00582DE2" w:rsidP="00582DE2">
      <w:pPr>
        <w:pStyle w:val="Paragrafoelenco"/>
        <w:numPr>
          <w:ilvl w:val="0"/>
          <w:numId w:val="39"/>
        </w:numPr>
        <w:autoSpaceDE w:val="0"/>
        <w:spacing w:after="0"/>
        <w:ind w:left="714" w:hanging="357"/>
        <w:jc w:val="both"/>
        <w:rPr>
          <w:rFonts w:ascii="Arial" w:hAnsi="Arial" w:cs="Arial"/>
          <w:color w:val="000000"/>
          <w:sz w:val="21"/>
          <w:szCs w:val="21"/>
        </w:rPr>
      </w:pPr>
      <w:r>
        <w:rPr>
          <w:rFonts w:ascii="Arial" w:hAnsi="Arial" w:cs="Arial"/>
          <w:color w:val="000000"/>
          <w:sz w:val="21"/>
          <w:szCs w:val="21"/>
        </w:rPr>
        <w:t>regolamentazione</w:t>
      </w:r>
    </w:p>
    <w:p w:rsidR="00582DE2" w:rsidRDefault="00582DE2" w:rsidP="00582DE2">
      <w:pPr>
        <w:pStyle w:val="Paragrafoelenco"/>
        <w:numPr>
          <w:ilvl w:val="0"/>
          <w:numId w:val="39"/>
        </w:numPr>
        <w:autoSpaceDE w:val="0"/>
        <w:spacing w:after="0"/>
        <w:ind w:left="714" w:hanging="357"/>
        <w:jc w:val="both"/>
        <w:rPr>
          <w:rFonts w:ascii="Arial" w:hAnsi="Arial" w:cs="Arial"/>
          <w:color w:val="000000"/>
          <w:sz w:val="21"/>
          <w:szCs w:val="21"/>
        </w:rPr>
      </w:pPr>
      <w:r>
        <w:rPr>
          <w:rFonts w:ascii="Arial" w:hAnsi="Arial" w:cs="Arial"/>
          <w:color w:val="000000"/>
          <w:sz w:val="21"/>
          <w:szCs w:val="21"/>
        </w:rPr>
        <w:t>formazione</w:t>
      </w:r>
    </w:p>
    <w:p w:rsidR="00582DE2" w:rsidRDefault="00582DE2" w:rsidP="00582DE2">
      <w:pPr>
        <w:pStyle w:val="Paragrafoelenco"/>
        <w:numPr>
          <w:ilvl w:val="0"/>
          <w:numId w:val="39"/>
        </w:numPr>
        <w:autoSpaceDE w:val="0"/>
        <w:spacing w:after="0"/>
        <w:ind w:left="714" w:hanging="357"/>
        <w:jc w:val="both"/>
        <w:rPr>
          <w:rFonts w:ascii="Arial" w:hAnsi="Arial" w:cs="Arial"/>
          <w:color w:val="000000"/>
          <w:sz w:val="21"/>
          <w:szCs w:val="21"/>
        </w:rPr>
      </w:pPr>
      <w:r>
        <w:rPr>
          <w:rFonts w:ascii="Arial" w:hAnsi="Arial" w:cs="Arial"/>
          <w:color w:val="000000"/>
          <w:sz w:val="21"/>
          <w:szCs w:val="21"/>
        </w:rPr>
        <w:t>rotazione</w:t>
      </w:r>
    </w:p>
    <w:p w:rsidR="00582DE2" w:rsidRDefault="00582DE2" w:rsidP="00582DE2">
      <w:pPr>
        <w:autoSpaceDE w:val="0"/>
        <w:jc w:val="both"/>
        <w:rPr>
          <w:rFonts w:ascii="Arial" w:hAnsi="Arial" w:cs="Arial"/>
          <w:iCs/>
          <w:color w:val="000000"/>
          <w:sz w:val="21"/>
          <w:szCs w:val="21"/>
        </w:rPr>
      </w:pPr>
    </w:p>
    <w:p w:rsidR="00582DE2" w:rsidRDefault="00582DE2" w:rsidP="00582DE2">
      <w:pPr>
        <w:autoSpaceDE w:val="0"/>
        <w:jc w:val="both"/>
      </w:pPr>
      <w:r>
        <w:rPr>
          <w:rFonts w:ascii="Arial" w:hAnsi="Arial" w:cs="Arial"/>
          <w:iCs/>
          <w:color w:val="000000"/>
          <w:sz w:val="21"/>
          <w:szCs w:val="21"/>
        </w:rPr>
        <w:t>Inoltre per l’individuazione del singolo indicatore di misurazione pensato per monitorare lo stato di attuazione delle misure di prevenzione da attuare, sono stati presi i seguenti esempi forniti da ANAC</w:t>
      </w:r>
      <w:r>
        <w:rPr>
          <w:rStyle w:val="Rimandonotaapidipagina"/>
          <w:rFonts w:ascii="Arial" w:eastAsia="Calibri" w:hAnsi="Arial" w:cs="Arial"/>
          <w:iCs/>
          <w:color w:val="000000"/>
          <w:sz w:val="21"/>
          <w:szCs w:val="21"/>
        </w:rPr>
        <w:footnoteReference w:id="3"/>
      </w:r>
      <w:r>
        <w:rPr>
          <w:rFonts w:ascii="Arial" w:hAnsi="Arial" w:cs="Arial"/>
          <w:iCs/>
          <w:color w:val="000000"/>
          <w:sz w:val="21"/>
          <w:szCs w:val="21"/>
        </w:rPr>
        <w:t>:</w:t>
      </w:r>
    </w:p>
    <w:p w:rsidR="00582DE2" w:rsidRDefault="00582DE2" w:rsidP="00582DE2">
      <w:pPr>
        <w:autoSpaceDE w:val="0"/>
        <w:jc w:val="both"/>
        <w:rPr>
          <w:rFonts w:ascii="Arial" w:hAnsi="Arial" w:cs="Arial"/>
          <w:iCs/>
          <w:color w:val="000000"/>
          <w:sz w:val="21"/>
          <w:szCs w:val="21"/>
        </w:rPr>
      </w:pPr>
    </w:p>
    <w:tbl>
      <w:tblPr>
        <w:tblW w:w="9622" w:type="dxa"/>
        <w:tblCellMar>
          <w:left w:w="10" w:type="dxa"/>
          <w:right w:w="10" w:type="dxa"/>
        </w:tblCellMar>
        <w:tblLook w:val="04A0" w:firstRow="1" w:lastRow="0" w:firstColumn="1" w:lastColumn="0" w:noHBand="0" w:noVBand="1"/>
      </w:tblPr>
      <w:tblGrid>
        <w:gridCol w:w="4811"/>
        <w:gridCol w:w="4811"/>
      </w:tblGrid>
      <w:tr w:rsidR="00582DE2" w:rsidTr="0046063C">
        <w:tc>
          <w:tcPr>
            <w:tcW w:w="4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b/>
                <w:bCs/>
                <w:sz w:val="18"/>
                <w:szCs w:val="18"/>
              </w:rPr>
              <w:t>TIPOLOGIA DI MISURA</w:t>
            </w:r>
          </w:p>
        </w:tc>
        <w:tc>
          <w:tcPr>
            <w:tcW w:w="4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b/>
                <w:bCs/>
                <w:sz w:val="18"/>
                <w:szCs w:val="18"/>
              </w:rPr>
              <w:t>ESEMPI DI INDICATORI</w:t>
            </w:r>
          </w:p>
        </w:tc>
      </w:tr>
      <w:tr w:rsidR="00582DE2" w:rsidTr="0046063C">
        <w:tc>
          <w:tcPr>
            <w:tcW w:w="4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sz w:val="18"/>
                <w:szCs w:val="18"/>
              </w:rPr>
              <w:t>controllo</w:t>
            </w:r>
          </w:p>
        </w:tc>
        <w:tc>
          <w:tcPr>
            <w:tcW w:w="4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sz w:val="18"/>
                <w:szCs w:val="18"/>
              </w:rPr>
              <w:t>numero di controlli effettuati su numero di pratiche/provvedimenti/; utilizzo check list e/strumenti operativi previsti</w:t>
            </w:r>
          </w:p>
        </w:tc>
      </w:tr>
      <w:tr w:rsidR="00582DE2" w:rsidTr="0046063C">
        <w:tc>
          <w:tcPr>
            <w:tcW w:w="4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sz w:val="18"/>
                <w:szCs w:val="18"/>
              </w:rPr>
              <w:t>trasparenza</w:t>
            </w:r>
          </w:p>
        </w:tc>
        <w:tc>
          <w:tcPr>
            <w:tcW w:w="4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sz w:val="18"/>
                <w:szCs w:val="18"/>
              </w:rPr>
              <w:t>presenza o meno di un determinato atto/dato/informazione oggetto di pubblicazione</w:t>
            </w:r>
          </w:p>
        </w:tc>
      </w:tr>
      <w:tr w:rsidR="00582DE2" w:rsidTr="0046063C">
        <w:tc>
          <w:tcPr>
            <w:tcW w:w="4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sz w:val="18"/>
                <w:szCs w:val="18"/>
              </w:rPr>
              <w:t>regolamentazione</w:t>
            </w:r>
          </w:p>
        </w:tc>
        <w:tc>
          <w:tcPr>
            <w:tcW w:w="4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sz w:val="18"/>
                <w:szCs w:val="18"/>
              </w:rPr>
              <w:t>verifica adozione di un determinato regolamento/procedura</w:t>
            </w:r>
          </w:p>
        </w:tc>
      </w:tr>
      <w:tr w:rsidR="00582DE2" w:rsidTr="0046063C">
        <w:tc>
          <w:tcPr>
            <w:tcW w:w="4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sz w:val="18"/>
                <w:szCs w:val="18"/>
              </w:rPr>
              <w:t>formazione</w:t>
            </w:r>
          </w:p>
        </w:tc>
        <w:tc>
          <w:tcPr>
            <w:tcW w:w="4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sz w:val="18"/>
                <w:szCs w:val="18"/>
              </w:rPr>
              <w:t>numero di partecipanti a un determinato corso su numero soggetti interessati; risultanze sulle verifiche di apprendimento (risultato dei test su risultato atteso)</w:t>
            </w:r>
          </w:p>
        </w:tc>
      </w:tr>
      <w:tr w:rsidR="00582DE2" w:rsidTr="0046063C">
        <w:tc>
          <w:tcPr>
            <w:tcW w:w="4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sz w:val="18"/>
                <w:szCs w:val="18"/>
              </w:rPr>
              <w:t>rotazione</w:t>
            </w:r>
          </w:p>
        </w:tc>
        <w:tc>
          <w:tcPr>
            <w:tcW w:w="4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sz w:val="18"/>
                <w:szCs w:val="18"/>
              </w:rPr>
              <w:t>numero di incarichi/pratiche ruotate sul totale</w:t>
            </w:r>
          </w:p>
        </w:tc>
      </w:tr>
      <w:bookmarkEnd w:id="14"/>
    </w:tbl>
    <w:p w:rsidR="00582DE2" w:rsidRDefault="00582DE2" w:rsidP="00582DE2">
      <w:pPr>
        <w:pStyle w:val="Standard"/>
        <w:autoSpaceDE w:val="0"/>
        <w:spacing w:before="100" w:after="0" w:line="240" w:lineRule="auto"/>
        <w:jc w:val="both"/>
        <w:rPr>
          <w:rFonts w:ascii="Arial" w:hAnsi="Arial" w:cs="Arial"/>
          <w:sz w:val="21"/>
          <w:szCs w:val="21"/>
        </w:rPr>
      </w:pPr>
    </w:p>
    <w:p w:rsidR="00582DE2" w:rsidRPr="006D244C" w:rsidRDefault="00582DE2" w:rsidP="006D244C">
      <w:pPr>
        <w:autoSpaceDE w:val="0"/>
        <w:jc w:val="both"/>
        <w:rPr>
          <w:rFonts w:ascii="Arial" w:hAnsi="Arial" w:cs="Arial"/>
          <w:b/>
          <w:iCs/>
          <w:color w:val="000000"/>
          <w:sz w:val="21"/>
          <w:szCs w:val="21"/>
        </w:rPr>
      </w:pPr>
      <w:bookmarkStart w:id="17" w:name="__RefHeading___Toc1968_761212699"/>
      <w:r w:rsidRPr="006D244C">
        <w:rPr>
          <w:rFonts w:ascii="Arial" w:hAnsi="Arial" w:cs="Arial"/>
          <w:b/>
          <w:iCs/>
          <w:color w:val="000000"/>
          <w:sz w:val="21"/>
          <w:szCs w:val="21"/>
        </w:rPr>
        <w:t>8. LE MISURE ORGANIZZATIVE DI CARATTERE GENERALE</w:t>
      </w:r>
      <w:bookmarkEnd w:id="17"/>
    </w:p>
    <w:p w:rsidR="00582DE2" w:rsidRDefault="00582DE2" w:rsidP="00582DE2">
      <w:pPr>
        <w:pStyle w:val="Standard"/>
        <w:spacing w:before="100" w:after="0" w:line="240" w:lineRule="auto"/>
        <w:jc w:val="both"/>
        <w:rPr>
          <w:rFonts w:ascii="Arial" w:hAnsi="Arial" w:cs="Arial"/>
          <w:sz w:val="21"/>
          <w:szCs w:val="21"/>
        </w:rPr>
      </w:pPr>
      <w:r>
        <w:rPr>
          <w:rFonts w:ascii="Arial" w:hAnsi="Arial" w:cs="Arial"/>
          <w:sz w:val="21"/>
          <w:szCs w:val="21"/>
        </w:rPr>
        <w:t>Si riportano di seguito le misure organizzative di carattere generale che l’Amministrazione Comunale intende mettere in atto, in coerenza con quanto previsto dalla L. 190/2012 e con la propria dimensione organizzativa.</w:t>
      </w:r>
    </w:p>
    <w:p w:rsidR="00A91DEA" w:rsidRDefault="00A91DEA" w:rsidP="00582DE2">
      <w:pPr>
        <w:pStyle w:val="Standard"/>
        <w:spacing w:before="100" w:after="0" w:line="240" w:lineRule="auto"/>
        <w:jc w:val="both"/>
        <w:rPr>
          <w:rFonts w:ascii="Arial" w:hAnsi="Arial" w:cs="Arial"/>
          <w:sz w:val="21"/>
          <w:szCs w:val="21"/>
        </w:rPr>
      </w:pPr>
    </w:p>
    <w:p w:rsidR="00582DE2" w:rsidRDefault="00582DE2" w:rsidP="00080553">
      <w:pPr>
        <w:pStyle w:val="Titolo2"/>
        <w:jc w:val="left"/>
        <w:rPr>
          <w:i/>
          <w:sz w:val="21"/>
          <w:szCs w:val="21"/>
        </w:rPr>
      </w:pPr>
      <w:r>
        <w:rPr>
          <w:sz w:val="21"/>
          <w:szCs w:val="21"/>
        </w:rPr>
        <w:t>8.1. FORMAZIONE</w:t>
      </w:r>
    </w:p>
    <w:p w:rsidR="00582DE2" w:rsidRDefault="00582DE2" w:rsidP="00582DE2">
      <w:pPr>
        <w:pStyle w:val="Standard"/>
        <w:autoSpaceDE w:val="0"/>
        <w:spacing w:before="100" w:after="0" w:line="240" w:lineRule="auto"/>
        <w:jc w:val="both"/>
        <w:rPr>
          <w:rFonts w:ascii="Arial" w:hAnsi="Arial" w:cs="Arial"/>
          <w:sz w:val="21"/>
          <w:szCs w:val="21"/>
        </w:rPr>
      </w:pPr>
      <w:r>
        <w:rPr>
          <w:rFonts w:ascii="Arial" w:hAnsi="Arial" w:cs="Arial"/>
          <w:sz w:val="21"/>
          <w:szCs w:val="21"/>
        </w:rPr>
        <w:t>La L. 190/2012 ribadisce come l’aspetto formativo sia essenziale per il mantenimento e lo sviluppo del Piano nel tempo. Per questo il Comune pone particolare attenzione alla formazione del personale addetto alle aree a più elevato rischio.</w:t>
      </w:r>
    </w:p>
    <w:p w:rsidR="00582DE2" w:rsidRDefault="00582DE2" w:rsidP="00582DE2">
      <w:pPr>
        <w:pStyle w:val="Standard"/>
        <w:autoSpaceDE w:val="0"/>
        <w:spacing w:before="100" w:after="0" w:line="240" w:lineRule="auto"/>
        <w:jc w:val="both"/>
        <w:rPr>
          <w:rFonts w:ascii="Arial" w:hAnsi="Arial" w:cs="Arial"/>
          <w:sz w:val="21"/>
          <w:szCs w:val="21"/>
        </w:rPr>
      </w:pPr>
      <w:r>
        <w:rPr>
          <w:rFonts w:ascii="Arial" w:hAnsi="Arial" w:cs="Arial"/>
          <w:sz w:val="21"/>
          <w:szCs w:val="21"/>
        </w:rPr>
        <w:t>La formazione del personale costituisce uno degli strumenti fondamentali per la messa a punto di un efficace strategia di prevenzione della corruzione; una formazione adeguata consente, infatti, di fornire a tutto il personale la necessaria conoscenza delle leggi e delle procedure di prevenzione della corruzione e delle modalità per riconoscere e gestire i segnali di allarme.</w:t>
      </w:r>
    </w:p>
    <w:p w:rsidR="00582DE2" w:rsidRDefault="00582DE2" w:rsidP="00582DE2">
      <w:pPr>
        <w:pStyle w:val="Standard"/>
        <w:autoSpaceDE w:val="0"/>
        <w:spacing w:before="100" w:after="0" w:line="240" w:lineRule="auto"/>
        <w:jc w:val="both"/>
        <w:rPr>
          <w:rFonts w:ascii="Arial" w:hAnsi="Arial" w:cs="Arial"/>
          <w:sz w:val="21"/>
          <w:szCs w:val="21"/>
        </w:rPr>
      </w:pPr>
      <w:r>
        <w:rPr>
          <w:rFonts w:ascii="Arial" w:hAnsi="Arial" w:cs="Arial"/>
          <w:sz w:val="21"/>
          <w:szCs w:val="21"/>
        </w:rPr>
        <w:t>Al fine di massimizzare l’impatto del Piano, è stata avviata nel corso dei primi mesi del 2016, anche grazie alla disponibilità del Consorzio dei Comuni Trentini, un’attività di informazione/formazione sui contenuti della materia rivolta a tutti i dipendenti.</w:t>
      </w:r>
    </w:p>
    <w:p w:rsidR="00582DE2" w:rsidRDefault="00582DE2" w:rsidP="00582DE2">
      <w:pPr>
        <w:pStyle w:val="Standard"/>
        <w:autoSpaceDE w:val="0"/>
        <w:spacing w:before="100" w:after="0" w:line="240" w:lineRule="auto"/>
        <w:jc w:val="both"/>
        <w:rPr>
          <w:rFonts w:ascii="Arial" w:hAnsi="Arial" w:cs="Arial"/>
          <w:sz w:val="21"/>
          <w:szCs w:val="21"/>
        </w:rPr>
      </w:pPr>
      <w:r>
        <w:rPr>
          <w:rFonts w:ascii="Arial" w:hAnsi="Arial" w:cs="Arial"/>
          <w:sz w:val="21"/>
          <w:szCs w:val="21"/>
        </w:rPr>
        <w:t xml:space="preserve">Anche il PNA 2019, in continuità con i PNA e gli Aggiornamenti che lo hanno preceduto, suggerisce agli enti di strutturare la formazione in due ambiti: </w:t>
      </w:r>
    </w:p>
    <w:p w:rsidR="00582DE2" w:rsidRDefault="00582DE2" w:rsidP="00582DE2">
      <w:pPr>
        <w:pStyle w:val="Standard"/>
        <w:autoSpaceDE w:val="0"/>
        <w:spacing w:before="100" w:after="0" w:line="240" w:lineRule="auto"/>
        <w:jc w:val="both"/>
        <w:rPr>
          <w:rFonts w:ascii="Arial" w:hAnsi="Arial" w:cs="Arial"/>
          <w:sz w:val="21"/>
          <w:szCs w:val="21"/>
        </w:rPr>
      </w:pPr>
      <w:r>
        <w:rPr>
          <w:rFonts w:ascii="Arial" w:hAnsi="Arial" w:cs="Arial"/>
          <w:sz w:val="21"/>
          <w:szCs w:val="21"/>
        </w:rPr>
        <w:t xml:space="preserve">a) uno generale, rivolto a tutti i dipendenti, mirato all’aggiornamento delle competenze e alle tematiche dell’etica e della legalità; </w:t>
      </w:r>
    </w:p>
    <w:p w:rsidR="00582DE2" w:rsidRDefault="00582DE2" w:rsidP="00582DE2">
      <w:pPr>
        <w:pStyle w:val="Standard"/>
        <w:autoSpaceDE w:val="0"/>
        <w:spacing w:before="100" w:after="0" w:line="240" w:lineRule="auto"/>
        <w:jc w:val="both"/>
        <w:rPr>
          <w:rFonts w:ascii="Arial" w:hAnsi="Arial" w:cs="Arial"/>
          <w:sz w:val="21"/>
          <w:szCs w:val="21"/>
        </w:rPr>
      </w:pPr>
      <w:r>
        <w:rPr>
          <w:rFonts w:ascii="Arial" w:hAnsi="Arial" w:cs="Arial"/>
          <w:sz w:val="21"/>
          <w:szCs w:val="21"/>
        </w:rPr>
        <w:t xml:space="preserve">b) uno specifico rivolto al RPCT, ai referenti, ai componenti degli organismi di controllo, ai dirigenti e funzionari addetti alle aree a rischio, mirato a valorizzare le politiche, i programmi e gli strumenti utilizzati per la prevenzione e ad approfondire tematiche settoriali, in relazione al ruolo svolto da ciascun soggetto nell’amministrazione. </w:t>
      </w:r>
    </w:p>
    <w:p w:rsidR="00582DE2" w:rsidRDefault="00582DE2" w:rsidP="00582DE2">
      <w:pPr>
        <w:pStyle w:val="Standard"/>
        <w:autoSpaceDE w:val="0"/>
        <w:spacing w:before="100" w:after="0" w:line="240" w:lineRule="auto"/>
        <w:jc w:val="both"/>
        <w:rPr>
          <w:rFonts w:ascii="Arial" w:hAnsi="Arial" w:cs="Arial"/>
          <w:sz w:val="21"/>
          <w:szCs w:val="21"/>
        </w:rPr>
      </w:pPr>
      <w:r>
        <w:rPr>
          <w:rFonts w:ascii="Arial" w:hAnsi="Arial" w:cs="Arial"/>
          <w:sz w:val="21"/>
          <w:szCs w:val="21"/>
        </w:rPr>
        <w:lastRenderedPageBreak/>
        <w:t>Infine, il PNA 2019 auspica che la formazione sia sempre più orientata all’esame di casi concreti calati nel contesto delle diverse amministrazioni e costruisca capacità tecniche e comportamentali nei dipendenti pubblici.</w:t>
      </w:r>
    </w:p>
    <w:p w:rsidR="00582DE2" w:rsidRDefault="00582DE2" w:rsidP="00582DE2">
      <w:pPr>
        <w:pStyle w:val="Standard"/>
        <w:autoSpaceDE w:val="0"/>
        <w:spacing w:before="100" w:after="0" w:line="240" w:lineRule="auto"/>
        <w:jc w:val="both"/>
      </w:pPr>
      <w:r>
        <w:rPr>
          <w:rFonts w:ascii="Arial" w:hAnsi="Arial" w:cs="Arial"/>
          <w:sz w:val="21"/>
          <w:szCs w:val="21"/>
        </w:rPr>
        <w:t>Nel corso del 2</w:t>
      </w:r>
      <w:r w:rsidRPr="00AD7335">
        <w:rPr>
          <w:rFonts w:ascii="Arial" w:hAnsi="Arial" w:cs="Arial"/>
          <w:sz w:val="21"/>
          <w:szCs w:val="21"/>
        </w:rPr>
        <w:t>019</w:t>
      </w:r>
      <w:r>
        <w:rPr>
          <w:rFonts w:ascii="Arial" w:hAnsi="Arial" w:cs="Arial"/>
          <w:sz w:val="21"/>
          <w:szCs w:val="21"/>
        </w:rPr>
        <w:t xml:space="preserve"> sono stati realizzati degli interventi formativi nell’ambito del rapporto tra riservatezza e trasparenza amministrativa e sui contenuti del PNA 2019, inoltre verso tutte le Aree è stato promosso un aggiornamento, rispetto alle novità normative, mediante l’inoltro di circolari pervenute dal Consorzio dei Comuni Trentini e da ANAC.</w:t>
      </w:r>
    </w:p>
    <w:p w:rsidR="00582DE2" w:rsidRDefault="00582DE2" w:rsidP="00582DE2">
      <w:pPr>
        <w:pStyle w:val="Standard"/>
        <w:autoSpaceDE w:val="0"/>
        <w:spacing w:before="100" w:after="0" w:line="240" w:lineRule="auto"/>
        <w:jc w:val="both"/>
        <w:rPr>
          <w:rFonts w:ascii="Arial" w:hAnsi="Arial" w:cs="Arial"/>
          <w:sz w:val="21"/>
          <w:szCs w:val="21"/>
        </w:rPr>
      </w:pPr>
      <w:r>
        <w:rPr>
          <w:rFonts w:ascii="Arial" w:hAnsi="Arial" w:cs="Arial"/>
          <w:sz w:val="21"/>
          <w:szCs w:val="21"/>
        </w:rPr>
        <w:t xml:space="preserve">Saranno programmati </w:t>
      </w:r>
      <w:r w:rsidR="00642A4B" w:rsidRPr="00517541">
        <w:rPr>
          <w:rFonts w:ascii="Arial" w:hAnsi="Arial" w:cs="Arial"/>
          <w:sz w:val="21"/>
          <w:szCs w:val="21"/>
        </w:rPr>
        <w:t>nel triennio 2022-2024</w:t>
      </w:r>
      <w:r w:rsidRPr="00517541">
        <w:rPr>
          <w:rFonts w:ascii="Arial" w:hAnsi="Arial" w:cs="Arial"/>
          <w:sz w:val="21"/>
          <w:szCs w:val="21"/>
        </w:rPr>
        <w:t>, grazie</w:t>
      </w:r>
      <w:r w:rsidRPr="00642A4B">
        <w:rPr>
          <w:rFonts w:ascii="Arial" w:hAnsi="Arial" w:cs="Arial"/>
          <w:sz w:val="21"/>
          <w:szCs w:val="21"/>
        </w:rPr>
        <w:t xml:space="preserve"> alla</w:t>
      </w:r>
      <w:r>
        <w:rPr>
          <w:rFonts w:ascii="Arial" w:hAnsi="Arial" w:cs="Arial"/>
          <w:sz w:val="21"/>
          <w:szCs w:val="21"/>
        </w:rPr>
        <w:t xml:space="preserve"> collaborazione progettuale del Consorzio dei Comuni, ulteriori interventi formativi obbligatori per il personale e per gli amministratori sulle tematiche della trasparenza, dell’integrità e dell’accesso civico, sia dal punto di vista della conoscenza della normativa e degli strumenti previsti nel Piano che dal punto di vista valoriale, in modo da accrescere la consapevolezza del senso etico nell’agire quotidiano nell’organizzazione e nei rapporti con l’utenza.</w:t>
      </w:r>
    </w:p>
    <w:p w:rsidR="00582DE2" w:rsidRDefault="00582DE2" w:rsidP="00582DE2">
      <w:pPr>
        <w:pStyle w:val="Standard"/>
        <w:autoSpaceDE w:val="0"/>
        <w:spacing w:before="100" w:after="0" w:line="240" w:lineRule="auto"/>
        <w:jc w:val="both"/>
        <w:rPr>
          <w:rFonts w:ascii="Arial" w:hAnsi="Arial" w:cs="Arial"/>
          <w:sz w:val="21"/>
          <w:szCs w:val="21"/>
        </w:rPr>
      </w:pPr>
    </w:p>
    <w:p w:rsidR="00582DE2" w:rsidRDefault="00582DE2" w:rsidP="00080553">
      <w:pPr>
        <w:pStyle w:val="Titolo2"/>
        <w:jc w:val="left"/>
        <w:rPr>
          <w:i/>
          <w:sz w:val="21"/>
          <w:szCs w:val="21"/>
        </w:rPr>
      </w:pPr>
      <w:r>
        <w:rPr>
          <w:sz w:val="21"/>
          <w:szCs w:val="21"/>
        </w:rPr>
        <w:t xml:space="preserve">8.2. CONTROLLI INTERNI </w:t>
      </w:r>
    </w:p>
    <w:p w:rsidR="00582DE2" w:rsidRDefault="00582DE2" w:rsidP="00582DE2">
      <w:pPr>
        <w:pStyle w:val="Standard"/>
        <w:jc w:val="both"/>
        <w:rPr>
          <w:rFonts w:ascii="Arial" w:hAnsi="Arial" w:cs="Arial"/>
          <w:sz w:val="21"/>
          <w:szCs w:val="21"/>
        </w:rPr>
      </w:pPr>
      <w:r>
        <w:rPr>
          <w:rFonts w:ascii="Arial" w:hAnsi="Arial" w:cs="Arial"/>
          <w:sz w:val="21"/>
          <w:szCs w:val="21"/>
        </w:rPr>
        <w:t>La legge regionale 15 dicembre 2015, n. 31 ha adeguato l'Ordinamento dei Comuni della Regione Trentino - Alto Adige alle disposizioni in materia controlli interni introdotte nel Testo unico enti locali (D.Lgs 18 agosto 2000, n. 267 ) dal decreto legge 10 ottobre 2012, n. 174 “Disposizioni urgenti in materia di finanza e funzionamento degli Enti Territoriali, nonché ulteriori disposizioni in favore delle zone terremotate nel maggio 2012”, convertito con modificazioni dall'articolo 1, comma 1, della legge 7 dicembre 2012, n. 213.</w:t>
      </w:r>
    </w:p>
    <w:p w:rsidR="00582DE2" w:rsidRDefault="00582DE2" w:rsidP="00582DE2">
      <w:pPr>
        <w:pStyle w:val="Standard"/>
        <w:jc w:val="both"/>
        <w:rPr>
          <w:rFonts w:ascii="Arial" w:hAnsi="Arial" w:cs="Arial"/>
          <w:sz w:val="21"/>
          <w:szCs w:val="21"/>
        </w:rPr>
      </w:pPr>
      <w:r w:rsidRPr="00080553">
        <w:rPr>
          <w:rFonts w:ascii="Arial" w:hAnsi="Arial" w:cs="Arial"/>
          <w:sz w:val="21"/>
          <w:szCs w:val="21"/>
        </w:rPr>
        <w:t xml:space="preserve">Con deliberazione n. </w:t>
      </w:r>
      <w:r w:rsidR="00080553" w:rsidRPr="00080553">
        <w:rPr>
          <w:rFonts w:ascii="Arial" w:hAnsi="Arial" w:cs="Arial"/>
          <w:sz w:val="21"/>
          <w:szCs w:val="21"/>
        </w:rPr>
        <w:t>3</w:t>
      </w:r>
      <w:r w:rsidRPr="00080553">
        <w:rPr>
          <w:rFonts w:ascii="Arial" w:hAnsi="Arial" w:cs="Arial"/>
          <w:sz w:val="21"/>
          <w:szCs w:val="21"/>
        </w:rPr>
        <w:t xml:space="preserve"> di data </w:t>
      </w:r>
      <w:r w:rsidR="00080553" w:rsidRPr="00080553">
        <w:rPr>
          <w:rFonts w:ascii="Arial" w:hAnsi="Arial" w:cs="Arial"/>
          <w:sz w:val="21"/>
          <w:szCs w:val="21"/>
        </w:rPr>
        <w:t>2</w:t>
      </w:r>
      <w:r w:rsidRPr="00080553">
        <w:rPr>
          <w:rFonts w:ascii="Arial" w:hAnsi="Arial" w:cs="Arial"/>
          <w:sz w:val="21"/>
          <w:szCs w:val="21"/>
        </w:rPr>
        <w:t>6.0</w:t>
      </w:r>
      <w:r w:rsidR="00080553" w:rsidRPr="00080553">
        <w:rPr>
          <w:rFonts w:ascii="Arial" w:hAnsi="Arial" w:cs="Arial"/>
          <w:sz w:val="21"/>
          <w:szCs w:val="21"/>
        </w:rPr>
        <w:t>2</w:t>
      </w:r>
      <w:r w:rsidRPr="00080553">
        <w:rPr>
          <w:rFonts w:ascii="Arial" w:hAnsi="Arial" w:cs="Arial"/>
          <w:sz w:val="21"/>
          <w:szCs w:val="21"/>
        </w:rPr>
        <w:t>.201</w:t>
      </w:r>
      <w:r w:rsidR="00080553" w:rsidRPr="00080553">
        <w:rPr>
          <w:rFonts w:ascii="Arial" w:hAnsi="Arial" w:cs="Arial"/>
          <w:sz w:val="21"/>
          <w:szCs w:val="21"/>
        </w:rPr>
        <w:t>8</w:t>
      </w:r>
      <w:r w:rsidRPr="00080553">
        <w:rPr>
          <w:rFonts w:ascii="Arial" w:hAnsi="Arial" w:cs="Arial"/>
          <w:sz w:val="21"/>
          <w:szCs w:val="21"/>
        </w:rPr>
        <w:t>, il Consiglio comunale di del Comune di Telve</w:t>
      </w:r>
      <w:r w:rsidR="00AE18B4" w:rsidRPr="00080553">
        <w:rPr>
          <w:rFonts w:ascii="Arial" w:hAnsi="Arial" w:cs="Arial"/>
          <w:sz w:val="21"/>
          <w:szCs w:val="21"/>
        </w:rPr>
        <w:t xml:space="preserve"> di Sopra</w:t>
      </w:r>
      <w:r w:rsidRPr="00080553">
        <w:rPr>
          <w:rFonts w:ascii="Arial" w:hAnsi="Arial" w:cs="Arial"/>
          <w:sz w:val="21"/>
          <w:szCs w:val="21"/>
        </w:rPr>
        <w:t xml:space="preserve"> ha</w:t>
      </w:r>
      <w:r>
        <w:rPr>
          <w:rFonts w:ascii="Arial" w:hAnsi="Arial" w:cs="Arial"/>
          <w:sz w:val="21"/>
          <w:szCs w:val="21"/>
        </w:rPr>
        <w:t xml:space="preserve"> approvato il Regolamento per la disciplina dei controlli interni.</w:t>
      </w:r>
    </w:p>
    <w:p w:rsidR="00582DE2" w:rsidRDefault="00582DE2" w:rsidP="00582DE2">
      <w:pPr>
        <w:pStyle w:val="Standard"/>
        <w:spacing w:after="0"/>
        <w:jc w:val="both"/>
        <w:rPr>
          <w:rFonts w:ascii="Arial" w:hAnsi="Arial" w:cs="Arial"/>
          <w:sz w:val="21"/>
          <w:szCs w:val="21"/>
        </w:rPr>
      </w:pPr>
      <w:r>
        <w:rPr>
          <w:rFonts w:ascii="Arial" w:hAnsi="Arial" w:cs="Arial"/>
          <w:sz w:val="21"/>
          <w:szCs w:val="21"/>
        </w:rPr>
        <w:t xml:space="preserve">Costituiscono principi generali sui quali si basa l’attività di controllo interno i canoni di legalità, di rispondenza al pubblico interesse e di efficienza; in particolare, di tali canoni costituiscono espressione i seguenti obblighi da osservarsi da parte dei soggetti che operano nell’amministrazione o per conto della stessa: </w:t>
      </w:r>
    </w:p>
    <w:p w:rsidR="00582DE2" w:rsidRDefault="00582DE2" w:rsidP="00582DE2">
      <w:pPr>
        <w:pStyle w:val="Standard"/>
        <w:spacing w:after="0"/>
        <w:jc w:val="both"/>
        <w:rPr>
          <w:rFonts w:ascii="Arial" w:hAnsi="Arial" w:cs="Arial"/>
          <w:sz w:val="21"/>
          <w:szCs w:val="21"/>
        </w:rPr>
      </w:pPr>
      <w:r>
        <w:rPr>
          <w:rFonts w:ascii="Arial" w:hAnsi="Arial" w:cs="Arial"/>
          <w:sz w:val="21"/>
          <w:szCs w:val="21"/>
        </w:rPr>
        <w:t xml:space="preserve">a) di uniformare l’attività al rispetto della legge, delle disposizioni statutarie e regolamentari, allo scopo di assicurare la legittimità, la correttezza e la regolarità dell’azione dell’Ente nell’adozione degli atti e provvedimenti amministrativi, nei contratti e nell’attività di diritto privato; </w:t>
      </w:r>
    </w:p>
    <w:p w:rsidR="00582DE2" w:rsidRDefault="00582DE2" w:rsidP="00582DE2">
      <w:pPr>
        <w:pStyle w:val="Standard"/>
        <w:spacing w:after="0"/>
        <w:jc w:val="both"/>
        <w:rPr>
          <w:rFonts w:ascii="Arial" w:hAnsi="Arial" w:cs="Arial"/>
          <w:sz w:val="21"/>
          <w:szCs w:val="21"/>
        </w:rPr>
      </w:pPr>
      <w:r>
        <w:rPr>
          <w:rFonts w:ascii="Arial" w:hAnsi="Arial" w:cs="Arial"/>
          <w:sz w:val="21"/>
          <w:szCs w:val="21"/>
        </w:rPr>
        <w:t>b) di assicurare che l’attività sia efficacemente diretta al conseguimento degli obiettivi e dei risultati attesi; c) di utilizzare strumenti telematici per l’effettuazione di ogni forma di comunicazione, salvo che tale utilizzo non sia possibile per circostanze obiettive;</w:t>
      </w:r>
    </w:p>
    <w:p w:rsidR="00582DE2" w:rsidRDefault="00582DE2" w:rsidP="00582DE2">
      <w:pPr>
        <w:pStyle w:val="Standard"/>
        <w:spacing w:after="0"/>
        <w:jc w:val="both"/>
        <w:rPr>
          <w:rFonts w:ascii="Arial" w:hAnsi="Arial" w:cs="Arial"/>
          <w:sz w:val="21"/>
          <w:szCs w:val="21"/>
        </w:rPr>
      </w:pPr>
      <w:r>
        <w:rPr>
          <w:rFonts w:ascii="Arial" w:hAnsi="Arial" w:cs="Arial"/>
          <w:sz w:val="21"/>
          <w:szCs w:val="21"/>
        </w:rPr>
        <w:t xml:space="preserve"> d) di assicurare la trasparenza, l’accesso civico e l’accesso ai documenti come stabilito dalla vigente normativa, fermi restando i limiti e i divieti di divulgazione e le cautele da adottare nei casi contemplati; </w:t>
      </w:r>
    </w:p>
    <w:p w:rsidR="00582DE2" w:rsidRDefault="00582DE2" w:rsidP="00582DE2">
      <w:pPr>
        <w:pStyle w:val="Standard"/>
        <w:spacing w:after="0"/>
        <w:jc w:val="both"/>
        <w:rPr>
          <w:rFonts w:ascii="Arial" w:hAnsi="Arial" w:cs="Arial"/>
          <w:sz w:val="21"/>
          <w:szCs w:val="21"/>
        </w:rPr>
      </w:pPr>
      <w:r>
        <w:rPr>
          <w:rFonts w:ascii="Arial" w:hAnsi="Arial" w:cs="Arial"/>
          <w:sz w:val="21"/>
          <w:szCs w:val="21"/>
        </w:rPr>
        <w:t>e) di rispettare i tempi del procedimento amministrativo.</w:t>
      </w:r>
    </w:p>
    <w:p w:rsidR="00582DE2" w:rsidRDefault="00582DE2" w:rsidP="00080553">
      <w:pPr>
        <w:pStyle w:val="Standard"/>
        <w:spacing w:after="0"/>
        <w:jc w:val="both"/>
        <w:rPr>
          <w:rFonts w:ascii="Arial" w:hAnsi="Arial" w:cs="Arial"/>
          <w:sz w:val="21"/>
          <w:szCs w:val="21"/>
        </w:rPr>
      </w:pPr>
    </w:p>
    <w:p w:rsidR="00582DE2" w:rsidRDefault="00582DE2" w:rsidP="00582DE2">
      <w:pPr>
        <w:pStyle w:val="Standard"/>
        <w:spacing w:after="0"/>
        <w:jc w:val="both"/>
        <w:rPr>
          <w:rFonts w:ascii="Arial" w:hAnsi="Arial" w:cs="Arial"/>
          <w:sz w:val="21"/>
          <w:szCs w:val="21"/>
        </w:rPr>
      </w:pPr>
      <w:r>
        <w:rPr>
          <w:rFonts w:ascii="Arial" w:hAnsi="Arial" w:cs="Arial"/>
          <w:sz w:val="21"/>
          <w:szCs w:val="21"/>
        </w:rPr>
        <w:t>Il sistema dei controlli interni costituisce dunque un fondamentale strumento di attuazione dei principi di buon andamento ed imparzialità della amministrazione di cui all’art. 97 della Costituzione, e svolge anche la funzione di supporto nella prevenzione del fenomeno della corruzione.</w:t>
      </w:r>
    </w:p>
    <w:p w:rsidR="00582DE2" w:rsidRDefault="00582DE2" w:rsidP="00582DE2">
      <w:pPr>
        <w:pStyle w:val="Standard"/>
        <w:autoSpaceDE w:val="0"/>
        <w:spacing w:before="100" w:after="0" w:line="240" w:lineRule="auto"/>
        <w:jc w:val="both"/>
        <w:rPr>
          <w:rFonts w:ascii="Arial" w:hAnsi="Arial" w:cs="Arial"/>
          <w:sz w:val="21"/>
          <w:szCs w:val="21"/>
        </w:rPr>
      </w:pPr>
    </w:p>
    <w:p w:rsidR="00582DE2" w:rsidRDefault="00582DE2" w:rsidP="00582DE2">
      <w:pPr>
        <w:pStyle w:val="Default"/>
        <w:spacing w:before="100" w:after="0" w:line="240" w:lineRule="auto"/>
        <w:rPr>
          <w:rFonts w:ascii="Arial" w:hAnsi="Arial" w:cs="Arial"/>
          <w:sz w:val="21"/>
          <w:szCs w:val="21"/>
        </w:rPr>
      </w:pPr>
    </w:p>
    <w:p w:rsidR="00582DE2" w:rsidRDefault="00582DE2" w:rsidP="00080553">
      <w:pPr>
        <w:pStyle w:val="Titolo2"/>
        <w:jc w:val="left"/>
        <w:rPr>
          <w:i/>
          <w:sz w:val="21"/>
          <w:szCs w:val="21"/>
        </w:rPr>
      </w:pPr>
      <w:bookmarkStart w:id="18" w:name="__RefHeading___Toc1970_761212699"/>
      <w:r>
        <w:rPr>
          <w:sz w:val="21"/>
          <w:szCs w:val="21"/>
        </w:rPr>
        <w:t>8.3. ROTAZIONE ORDINARIA DEL PERSONALE</w:t>
      </w:r>
      <w:bookmarkEnd w:id="18"/>
      <w:r>
        <w:rPr>
          <w:sz w:val="21"/>
          <w:szCs w:val="21"/>
        </w:rPr>
        <w:t xml:space="preserve"> </w:t>
      </w:r>
    </w:p>
    <w:p w:rsidR="00582DE2" w:rsidRDefault="00582DE2" w:rsidP="00582DE2">
      <w:pPr>
        <w:pStyle w:val="Default"/>
        <w:spacing w:before="100" w:after="0" w:line="240" w:lineRule="auto"/>
        <w:rPr>
          <w:rFonts w:ascii="Arial" w:hAnsi="Arial" w:cs="Arial"/>
          <w:color w:val="auto"/>
          <w:sz w:val="21"/>
          <w:szCs w:val="21"/>
        </w:rPr>
      </w:pPr>
      <w:r>
        <w:rPr>
          <w:rFonts w:ascii="Arial" w:hAnsi="Arial" w:cs="Arial"/>
          <w:color w:val="auto"/>
          <w:sz w:val="21"/>
          <w:szCs w:val="21"/>
        </w:rPr>
        <w:t xml:space="preserve">La rotazione ordinaria del personale è una misura di prevenzione della corruzione espressamente prescritta dalla Legge 190/2012, sulla quale l’Autorità Nazionale Anticorruzione ha svolto ampi approfondimenti, evidenziando aspetti di criticità nell’applicazione di tale misura e segnalando che detta misura risulta spesso assente, ovvero manca una programmazione, ovvero ancora – ove una programmazione sia realizzata – di fatto poi non venga attuata. L’Autorità ha effettuato la distinzione tra la rotazione ordinaria prevista dalla legge sopra citata e la rotazione straordinaria, prevista dall’ art. 16, </w:t>
      </w:r>
      <w:r>
        <w:rPr>
          <w:rFonts w:ascii="Arial" w:hAnsi="Arial" w:cs="Arial"/>
          <w:color w:val="auto"/>
          <w:sz w:val="21"/>
          <w:szCs w:val="21"/>
        </w:rPr>
        <w:lastRenderedPageBreak/>
        <w:t>co. 1, lett. l-quater del d.lgs. 165/2001, che si attiva successivamente al verificarsi di fenomeni corruttivi. Della rotazione straordinaria si dirà nel successivo paragrafo. L’orientamento dell’ANAC è stato quello di rimettere l’applicazione della misura della rotazione ordinaria alla autonoma programmazione delle amministrazioni, così da consentire alle stesse di adattare tale misura alla concreta situazione organizzativa interna ed indicando, ove non risulti possibile applicare tala misura (per carenza di personale, o per professionalità con elevato contenuto tecnico) di operare scelte organizzative o adottare altre misure di natura preventiva che esplichino effetti analoghi.</w:t>
      </w:r>
    </w:p>
    <w:p w:rsidR="00582DE2" w:rsidRDefault="00582DE2" w:rsidP="00582DE2">
      <w:pPr>
        <w:pStyle w:val="Default"/>
        <w:spacing w:before="100" w:after="0" w:line="240" w:lineRule="auto"/>
      </w:pPr>
      <w:r>
        <w:rPr>
          <w:rFonts w:ascii="Arial" w:hAnsi="Arial" w:cs="Arial"/>
          <w:color w:val="auto"/>
          <w:sz w:val="21"/>
          <w:szCs w:val="21"/>
        </w:rPr>
        <w:t>Rispetto a quanto auspicato e suggerito dalla normativa e dal PNA 2019 in merito all’adozione di adeguati sistemi di rotazione del personale addetto alle aree a rischio, si rileva la materiale impossibilità di procedere in tal senso alla luce dell’esiguità della propria dotazione organica.</w:t>
      </w:r>
    </w:p>
    <w:p w:rsidR="00582DE2" w:rsidRDefault="00582DE2" w:rsidP="00582DE2">
      <w:pPr>
        <w:pStyle w:val="Default"/>
        <w:spacing w:before="100" w:after="0" w:line="240" w:lineRule="auto"/>
      </w:pPr>
      <w:r>
        <w:rPr>
          <w:rFonts w:ascii="Arial" w:hAnsi="Arial" w:cs="Arial"/>
          <w:color w:val="auto"/>
          <w:sz w:val="21"/>
          <w:szCs w:val="21"/>
        </w:rPr>
        <w:t>L’Amministrazione comunale si impegna a mettere in atto delle misure alternative come ad esempio a valutare nel medio periodo la possibilità di rinforzare attraverso specifici interventi formativi e laddove possibile una parziale fungibilità degli addetti nei processi a contatto con la cittadinanza. Si cercherà di sopperire a tale impossibilità tramite il rinforzo dell’attività di controllo così come evidenziata nello specifico nelle azioni messe in campo nella seconda parte del presente Piano.</w:t>
      </w:r>
    </w:p>
    <w:p w:rsidR="00582DE2" w:rsidRDefault="00582DE2" w:rsidP="00582DE2">
      <w:pPr>
        <w:pStyle w:val="Default"/>
        <w:spacing w:before="100" w:after="0" w:line="240" w:lineRule="auto"/>
        <w:rPr>
          <w:rFonts w:ascii="Arial" w:hAnsi="Arial" w:cs="Arial"/>
          <w:color w:val="auto"/>
          <w:sz w:val="21"/>
          <w:szCs w:val="21"/>
        </w:rPr>
      </w:pPr>
      <w:r>
        <w:rPr>
          <w:rFonts w:ascii="Arial" w:hAnsi="Arial" w:cs="Arial"/>
          <w:color w:val="auto"/>
          <w:sz w:val="21"/>
          <w:szCs w:val="21"/>
        </w:rPr>
        <w:t>L’impegno si estenderà anche a sviluppare modalità operative che permettano una maggiore compartecipazione del personale alle attività del proprio ufficio, per favorire la trasparenza “interna” delle operazioni.</w:t>
      </w:r>
    </w:p>
    <w:p w:rsidR="00582DE2" w:rsidRDefault="00582DE2" w:rsidP="00582DE2">
      <w:pPr>
        <w:pStyle w:val="Default"/>
        <w:spacing w:before="100" w:after="0" w:line="240" w:lineRule="auto"/>
        <w:rPr>
          <w:rFonts w:ascii="Arial" w:hAnsi="Arial" w:cs="Arial"/>
          <w:sz w:val="21"/>
          <w:szCs w:val="21"/>
        </w:rPr>
      </w:pPr>
      <w:r>
        <w:rPr>
          <w:rFonts w:ascii="Arial" w:hAnsi="Arial" w:cs="Arial"/>
          <w:sz w:val="21"/>
          <w:szCs w:val="21"/>
        </w:rPr>
        <w:t>L’aspetto formativo si ritiene essenziale per il mantenimento e lo sviluppo del Piano nel tempo, pertanto, dato atto che la L. 190/2012 attribuisce particolare importanza alla formazione del personale addetto alle aree a più elevato rischio, si presta – relativamente alla formazione - particolare attenzione alle tematiche della trasparenza e della integrità, sia dal punto di vista della conoscenza della normativa e degli strumenti previsti nel Piano che dal punto di vista valoriale, in modo da accrescere sempre più lo sviluppo del senso etico.</w:t>
      </w:r>
    </w:p>
    <w:p w:rsidR="00E175FF" w:rsidRPr="00BC39D0" w:rsidRDefault="00E175FF" w:rsidP="00BC39D0">
      <w:pPr>
        <w:pStyle w:val="Default"/>
        <w:spacing w:before="100"/>
        <w:rPr>
          <w:rFonts w:ascii="Arial" w:hAnsi="Arial" w:cs="Arial"/>
          <w:color w:val="auto"/>
          <w:sz w:val="21"/>
          <w:szCs w:val="21"/>
        </w:rPr>
      </w:pPr>
      <w:r w:rsidRPr="00BC39D0">
        <w:rPr>
          <w:rFonts w:ascii="Arial" w:hAnsi="Arial" w:cs="Arial"/>
          <w:color w:val="auto"/>
          <w:sz w:val="21"/>
          <w:szCs w:val="21"/>
        </w:rPr>
        <w:t xml:space="preserve">L’avvio delle gestioni associate con i Comuni limitrofi di Carzano, Castelnuovo e Telve di Sopra e le procedure per l’assunzione di personale, di fatto, ha portato ad una nuova distribuzione del personale e definizione </w:t>
      </w:r>
      <w:r w:rsidR="00BC39D0" w:rsidRPr="00BC39D0">
        <w:rPr>
          <w:rFonts w:ascii="Arial" w:hAnsi="Arial" w:cs="Arial"/>
          <w:color w:val="auto"/>
          <w:sz w:val="21"/>
          <w:szCs w:val="21"/>
        </w:rPr>
        <w:t xml:space="preserve">dei ruoli, determinando, di fatto, </w:t>
      </w:r>
      <w:r w:rsidRPr="00BC39D0">
        <w:rPr>
          <w:rFonts w:ascii="Arial" w:hAnsi="Arial" w:cs="Arial"/>
          <w:color w:val="auto"/>
          <w:sz w:val="21"/>
          <w:szCs w:val="21"/>
        </w:rPr>
        <w:t xml:space="preserve"> una rotazione del personale.</w:t>
      </w:r>
    </w:p>
    <w:p w:rsidR="00582DE2" w:rsidRDefault="00582DE2" w:rsidP="00582DE2">
      <w:pPr>
        <w:pStyle w:val="Default"/>
        <w:spacing w:before="100" w:after="0" w:line="240" w:lineRule="auto"/>
        <w:rPr>
          <w:rFonts w:ascii="Arial" w:hAnsi="Arial" w:cs="Arial"/>
          <w:sz w:val="21"/>
          <w:szCs w:val="21"/>
        </w:rPr>
      </w:pPr>
    </w:p>
    <w:p w:rsidR="00582DE2" w:rsidRDefault="00582DE2" w:rsidP="00080553">
      <w:pPr>
        <w:pStyle w:val="Titolo2"/>
        <w:jc w:val="left"/>
        <w:rPr>
          <w:i/>
          <w:sz w:val="21"/>
          <w:szCs w:val="21"/>
        </w:rPr>
      </w:pPr>
      <w:r>
        <w:rPr>
          <w:sz w:val="21"/>
          <w:szCs w:val="21"/>
        </w:rPr>
        <w:t>8.4. ROTAZIONE STRAORDINARIA DEL PERSONALE</w:t>
      </w:r>
    </w:p>
    <w:p w:rsidR="00582DE2" w:rsidRDefault="00582DE2" w:rsidP="00582DE2">
      <w:pPr>
        <w:pStyle w:val="Default"/>
        <w:spacing w:before="100" w:after="0" w:line="240" w:lineRule="auto"/>
        <w:rPr>
          <w:rFonts w:ascii="Arial" w:hAnsi="Arial" w:cs="Arial"/>
          <w:sz w:val="21"/>
          <w:szCs w:val="21"/>
        </w:rPr>
      </w:pPr>
      <w:r>
        <w:rPr>
          <w:rFonts w:ascii="Arial" w:hAnsi="Arial" w:cs="Arial"/>
          <w:sz w:val="21"/>
          <w:szCs w:val="21"/>
        </w:rPr>
        <w:t xml:space="preserve">L’istituto della rotazione “straordinaria” costituisce misura di carattere successivo al verificarsi di fenomeni corruttivi. La legge prevede, infatti, la rotazione “del personale nei casi di avvio di procedimenti penali o disciplinari per condotte di natura corruttiva”. </w:t>
      </w:r>
    </w:p>
    <w:p w:rsidR="00582DE2" w:rsidRDefault="00582DE2" w:rsidP="00582DE2">
      <w:pPr>
        <w:pStyle w:val="Default"/>
        <w:spacing w:before="100" w:after="0" w:line="240" w:lineRule="auto"/>
        <w:rPr>
          <w:rFonts w:ascii="Arial" w:hAnsi="Arial" w:cs="Arial"/>
          <w:sz w:val="21"/>
          <w:szCs w:val="21"/>
        </w:rPr>
      </w:pPr>
      <w:r>
        <w:rPr>
          <w:rFonts w:ascii="Arial" w:hAnsi="Arial" w:cs="Arial"/>
          <w:sz w:val="21"/>
          <w:szCs w:val="21"/>
        </w:rPr>
        <w:t xml:space="preserve">La rotazione straordinaria costituisce quindi un provvedimento adottato in una fase del tutto iniziale del procedimento penale e/o disciplinare, con applicazione circoscritta alle sole “condotte di natura corruttiva”, le quali, creando un maggiore danno all’immagine di imparzialità dell’Amministrazione, richiedono una valutazione immediata. </w:t>
      </w:r>
    </w:p>
    <w:p w:rsidR="00582DE2" w:rsidRDefault="00582DE2" w:rsidP="00582DE2">
      <w:pPr>
        <w:pStyle w:val="Default"/>
        <w:spacing w:before="100" w:after="0" w:line="240" w:lineRule="auto"/>
        <w:rPr>
          <w:rFonts w:ascii="Arial" w:hAnsi="Arial" w:cs="Arial"/>
          <w:sz w:val="21"/>
          <w:szCs w:val="21"/>
        </w:rPr>
      </w:pPr>
      <w:r>
        <w:rPr>
          <w:rFonts w:ascii="Arial" w:hAnsi="Arial" w:cs="Arial"/>
          <w:sz w:val="21"/>
          <w:szCs w:val="21"/>
        </w:rPr>
        <w:t xml:space="preserve">L’Amministrazione ritiene che l’istituto della rotazione straordinaria debba trovare compiuta disciplina in sede di codice di comportamento, nel quale, in particolare, dovrà essere previsto l’obbligo per i dipendenti di comunicare all’ente la sussistenza nei propri confronti di provvedimenti di rinvio a giudizio per condotte di natura corruttiva. </w:t>
      </w:r>
    </w:p>
    <w:p w:rsidR="00582DE2" w:rsidRDefault="00582DE2" w:rsidP="00582DE2">
      <w:pPr>
        <w:pStyle w:val="Default"/>
        <w:spacing w:before="100" w:after="0" w:line="240" w:lineRule="auto"/>
      </w:pPr>
      <w:r>
        <w:rPr>
          <w:rFonts w:ascii="Arial" w:hAnsi="Arial" w:cs="Arial"/>
          <w:sz w:val="21"/>
          <w:szCs w:val="21"/>
        </w:rPr>
        <w:t xml:space="preserve">In attesa della revisione del vigente codice di comportamento o di nuova adozione dello stesso cosi come previsto nel successivo punto 8.6, sarà compito del RPCT monitorare con attenzione le ipotesi in cui si verificano i presupposti per l’applicazione della misura in oggetto al fine di dare concreta attuazione alla stessa. </w:t>
      </w:r>
    </w:p>
    <w:p w:rsidR="00582DE2" w:rsidRDefault="00582DE2" w:rsidP="00582DE2">
      <w:pPr>
        <w:pStyle w:val="Default"/>
        <w:spacing w:before="100" w:after="0" w:line="240" w:lineRule="auto"/>
        <w:rPr>
          <w:rFonts w:ascii="Arial" w:hAnsi="Arial" w:cs="Arial"/>
          <w:sz w:val="21"/>
          <w:szCs w:val="21"/>
        </w:rPr>
      </w:pPr>
      <w:r>
        <w:rPr>
          <w:rFonts w:ascii="Arial" w:hAnsi="Arial" w:cs="Arial"/>
          <w:sz w:val="21"/>
          <w:szCs w:val="21"/>
        </w:rPr>
        <w:t>Nello specifico il RPCT dovrà assicurare l’applicazione di tale misura conformemente a quanto previsto in merito da ANAC con delibera n. 215 di data 26.03.2019 (“Linee guida in materia di applicazione della misura della rotazione straordinaria di cui all’art. 16, comma 1, lettera l-quater, del d.lgs. n. 165 del 2001”), con particolare riguardo:</w:t>
      </w:r>
    </w:p>
    <w:p w:rsidR="00582DE2" w:rsidRDefault="00582DE2" w:rsidP="00582DE2">
      <w:pPr>
        <w:pStyle w:val="Default"/>
        <w:spacing w:before="100" w:after="0" w:line="240" w:lineRule="auto"/>
        <w:rPr>
          <w:rFonts w:ascii="Arial" w:hAnsi="Arial" w:cs="Arial"/>
          <w:sz w:val="21"/>
          <w:szCs w:val="21"/>
        </w:rPr>
      </w:pPr>
      <w:r>
        <w:rPr>
          <w:rFonts w:ascii="Arial" w:hAnsi="Arial" w:cs="Arial"/>
          <w:sz w:val="21"/>
          <w:szCs w:val="21"/>
        </w:rPr>
        <w:t xml:space="preserve">• alla identificazione dei reati che costituiscono il presupposto ai fini dell’applicazione della misura; </w:t>
      </w:r>
    </w:p>
    <w:p w:rsidR="00582DE2" w:rsidRDefault="00582DE2" w:rsidP="00582DE2">
      <w:pPr>
        <w:pStyle w:val="Default"/>
        <w:spacing w:before="100" w:after="0" w:line="240" w:lineRule="auto"/>
        <w:rPr>
          <w:rFonts w:ascii="Arial" w:hAnsi="Arial" w:cs="Arial"/>
          <w:sz w:val="21"/>
          <w:szCs w:val="21"/>
        </w:rPr>
      </w:pPr>
      <w:r>
        <w:rPr>
          <w:rFonts w:ascii="Arial" w:hAnsi="Arial" w:cs="Arial"/>
          <w:sz w:val="21"/>
          <w:szCs w:val="21"/>
        </w:rPr>
        <w:lastRenderedPageBreak/>
        <w:t>• al momento del procedimento penale in cui l’Amministrazione deve adottare il provvedimento di valutazione della condotta del dipendente, adeguatamente motivato, ai fini dell’eventuale applicazione della misura.</w:t>
      </w:r>
    </w:p>
    <w:p w:rsidR="00080553" w:rsidRDefault="00080553" w:rsidP="00582DE2">
      <w:pPr>
        <w:pStyle w:val="Default"/>
        <w:spacing w:before="100" w:after="0" w:line="240" w:lineRule="auto"/>
        <w:rPr>
          <w:rFonts w:ascii="Arial" w:hAnsi="Arial" w:cs="Arial"/>
          <w:sz w:val="21"/>
          <w:szCs w:val="21"/>
        </w:rPr>
      </w:pPr>
    </w:p>
    <w:p w:rsidR="00582DE2" w:rsidRDefault="00582DE2" w:rsidP="00080553">
      <w:pPr>
        <w:pStyle w:val="Titolo2"/>
        <w:jc w:val="left"/>
        <w:rPr>
          <w:i/>
          <w:sz w:val="21"/>
          <w:szCs w:val="21"/>
        </w:rPr>
      </w:pPr>
      <w:bookmarkStart w:id="19" w:name="__RefHeading___Toc1972_761212699"/>
      <w:r>
        <w:rPr>
          <w:sz w:val="21"/>
          <w:szCs w:val="21"/>
        </w:rPr>
        <w:t>8.5. TRASPARENZA</w:t>
      </w:r>
      <w:bookmarkEnd w:id="19"/>
    </w:p>
    <w:p w:rsidR="00582DE2" w:rsidRDefault="00582DE2" w:rsidP="00582DE2">
      <w:pPr>
        <w:pStyle w:val="Default"/>
        <w:spacing w:before="100" w:after="0" w:line="240" w:lineRule="auto"/>
        <w:rPr>
          <w:rFonts w:ascii="Arial" w:hAnsi="Arial" w:cs="Arial"/>
          <w:sz w:val="21"/>
          <w:szCs w:val="21"/>
        </w:rPr>
      </w:pPr>
      <w:r>
        <w:rPr>
          <w:rFonts w:ascii="Arial" w:hAnsi="Arial" w:cs="Arial"/>
          <w:sz w:val="21"/>
          <w:szCs w:val="21"/>
        </w:rPr>
        <w:t>Il D.lg. 33/2013 definisce la trasparenza come “accessibilità totale dei dati e documenti detenuti dalle pubbliche amministrazioni, allo scopo di tutelare i diritti dei cittadini, promuovere la partecipazione degli interessati all’attività amministrativa e favorire forme diffuse di controllo sul perseguimento delle funzioni istituzionali e sull’utilizzo delle risorse pubbliche”.</w:t>
      </w:r>
    </w:p>
    <w:p w:rsidR="00582DE2" w:rsidRDefault="00582DE2" w:rsidP="00582DE2">
      <w:pPr>
        <w:pStyle w:val="Default"/>
        <w:spacing w:before="100" w:after="0" w:line="240" w:lineRule="auto"/>
        <w:rPr>
          <w:rFonts w:ascii="Arial" w:hAnsi="Arial" w:cs="Arial"/>
          <w:sz w:val="21"/>
          <w:szCs w:val="21"/>
        </w:rPr>
      </w:pPr>
      <w:r>
        <w:rPr>
          <w:rFonts w:ascii="Arial" w:hAnsi="Arial" w:cs="Arial"/>
          <w:sz w:val="21"/>
          <w:szCs w:val="21"/>
        </w:rPr>
        <w:t>L’Amministrazione si impegna – partendo da quanto indicato nell’art. 1 comma 9 della L. 190/2012 – a applicare operativamente le prescrizioni in tema di trasparenza secondo quanto previsto dall’art.7 della Legge regionale 13 dicembre 2012, n. 8 (Amministrazione Aperta), così come modificata dalla Legge Regionale 29 ottobre 2014 n.10, tenendo altresì conto delle disposizioni specifiche in materia adottate in sede provinciale ai sensi dell’articolo 59 della legge regionale 22 dicembre 2004, n. 7.</w:t>
      </w:r>
    </w:p>
    <w:p w:rsidR="00582DE2" w:rsidRDefault="00582DE2" w:rsidP="00582DE2">
      <w:pPr>
        <w:pStyle w:val="Default"/>
        <w:spacing w:before="100" w:after="0" w:line="240" w:lineRule="auto"/>
        <w:rPr>
          <w:rFonts w:ascii="Arial" w:hAnsi="Arial" w:cs="Arial"/>
          <w:color w:val="auto"/>
          <w:sz w:val="21"/>
          <w:szCs w:val="21"/>
        </w:rPr>
      </w:pPr>
      <w:r>
        <w:rPr>
          <w:rFonts w:ascii="Arial" w:hAnsi="Arial" w:cs="Arial"/>
          <w:color w:val="auto"/>
          <w:sz w:val="21"/>
          <w:szCs w:val="21"/>
        </w:rPr>
        <w:t>Tutti gli uffici comunali dovranno dare attuazione agli obblighi di trasparenza di propria competenza di cui all'allegato “Elenco obblighi di pubblicazione in Amministrazione Trasparente” e disciplinati dal d.lgs. n. 33/2013, così come novellato dal d.lgs. n. 97/2016.</w:t>
      </w:r>
    </w:p>
    <w:p w:rsidR="00582DE2" w:rsidRDefault="00582DE2" w:rsidP="00582DE2">
      <w:pPr>
        <w:pStyle w:val="Default"/>
        <w:spacing w:before="100" w:after="0" w:line="240" w:lineRule="auto"/>
      </w:pPr>
      <w:r>
        <w:rPr>
          <w:rFonts w:ascii="Arial" w:hAnsi="Arial" w:cs="Arial"/>
          <w:color w:val="auto"/>
          <w:sz w:val="21"/>
          <w:szCs w:val="21"/>
        </w:rPr>
        <w:t>Per quanto concerne le modalità di gestione e di individuazione dei flussi informativi relativamente agli obblighi di pubblicazione nelle pagine del sito istituzionale, “Amministrazione Trasparente”, sono individuati nell’allegato “Elenco obblighi di pubblicazione in Amministrazione Trasparente” (</w:t>
      </w:r>
      <w:r w:rsidR="00941CC6">
        <w:rPr>
          <w:rFonts w:ascii="Arial" w:hAnsi="Arial" w:cs="Arial"/>
          <w:color w:val="auto"/>
          <w:sz w:val="21"/>
          <w:szCs w:val="21"/>
        </w:rPr>
        <w:t>A</w:t>
      </w:r>
      <w:r w:rsidRPr="009C5FEC">
        <w:rPr>
          <w:rFonts w:ascii="Arial" w:hAnsi="Arial" w:cs="Arial"/>
          <w:color w:val="auto"/>
          <w:sz w:val="21"/>
          <w:szCs w:val="21"/>
        </w:rPr>
        <w:t xml:space="preserve">llegato </w:t>
      </w:r>
      <w:r w:rsidR="00941CC6" w:rsidRPr="009C5FEC">
        <w:rPr>
          <w:rFonts w:ascii="Arial" w:hAnsi="Arial" w:cs="Arial"/>
          <w:color w:val="auto"/>
          <w:sz w:val="21"/>
          <w:szCs w:val="21"/>
        </w:rPr>
        <w:t>H</w:t>
      </w:r>
      <w:r w:rsidR="009C5FEC" w:rsidRPr="009C5FEC">
        <w:rPr>
          <w:rFonts w:ascii="Arial" w:hAnsi="Arial" w:cs="Arial"/>
          <w:color w:val="auto"/>
          <w:sz w:val="21"/>
          <w:szCs w:val="21"/>
        </w:rPr>
        <w:t>)</w:t>
      </w:r>
      <w:r>
        <w:rPr>
          <w:rFonts w:ascii="Arial" w:hAnsi="Arial" w:cs="Arial"/>
          <w:color w:val="auto"/>
          <w:sz w:val="21"/>
          <w:szCs w:val="21"/>
        </w:rPr>
        <w:t>); per ogni singolo obbligo, il riferimento normativo, la descrizione dell’obbligo di pubblicazione, i soggetti responsabili delle singole azioni (produzione, trasmissione, pubblicazione e aggiornamento), la durata e le modalità di aggiornamento.</w:t>
      </w:r>
      <w:bookmarkStart w:id="20" w:name="__RefHeading___Toc1974_761212699"/>
    </w:p>
    <w:p w:rsidR="00582DE2" w:rsidRDefault="00582DE2" w:rsidP="00582DE2">
      <w:pPr>
        <w:pStyle w:val="Default"/>
        <w:spacing w:before="100" w:after="0" w:line="240" w:lineRule="auto"/>
      </w:pPr>
      <w:r>
        <w:rPr>
          <w:rFonts w:ascii="Arial" w:hAnsi="Arial" w:cs="Arial"/>
          <w:sz w:val="21"/>
          <w:szCs w:val="21"/>
        </w:rPr>
        <w:t>Per garantire la corretta e puntuale attuazione degli obblighi di pubblicazione di cui all'allegato “Elenco obblighi di pubblicazione in Amministrazione Trasparente</w:t>
      </w:r>
      <w:r>
        <w:rPr>
          <w:rFonts w:ascii="Arial" w:hAnsi="Arial" w:cs="Arial"/>
          <w:color w:val="auto"/>
          <w:sz w:val="21"/>
          <w:szCs w:val="21"/>
        </w:rPr>
        <w:t xml:space="preserve">” </w:t>
      </w:r>
      <w:r w:rsidRPr="009C5FEC">
        <w:rPr>
          <w:rFonts w:ascii="Arial" w:hAnsi="Arial" w:cs="Arial"/>
          <w:sz w:val="21"/>
          <w:szCs w:val="21"/>
        </w:rPr>
        <w:t>(</w:t>
      </w:r>
      <w:r w:rsidR="00941CC6" w:rsidRPr="009C5FEC">
        <w:rPr>
          <w:rFonts w:ascii="Arial" w:hAnsi="Arial" w:cs="Arial"/>
          <w:sz w:val="21"/>
          <w:szCs w:val="21"/>
        </w:rPr>
        <w:t>A</w:t>
      </w:r>
      <w:r w:rsidRPr="009C5FEC">
        <w:rPr>
          <w:rFonts w:ascii="Arial" w:hAnsi="Arial" w:cs="Arial"/>
          <w:sz w:val="21"/>
          <w:szCs w:val="21"/>
        </w:rPr>
        <w:t xml:space="preserve">llegato </w:t>
      </w:r>
      <w:r w:rsidR="00941CC6" w:rsidRPr="009C5FEC">
        <w:rPr>
          <w:rFonts w:ascii="Arial" w:hAnsi="Arial" w:cs="Arial"/>
          <w:sz w:val="21"/>
          <w:szCs w:val="21"/>
        </w:rPr>
        <w:t>H</w:t>
      </w:r>
      <w:r w:rsidR="009C5FEC" w:rsidRPr="009C5FEC">
        <w:rPr>
          <w:rFonts w:ascii="Arial" w:hAnsi="Arial" w:cs="Arial"/>
          <w:sz w:val="21"/>
          <w:szCs w:val="21"/>
        </w:rPr>
        <w:t>)</w:t>
      </w:r>
      <w:r w:rsidRPr="009C5FEC">
        <w:rPr>
          <w:rFonts w:ascii="Arial" w:hAnsi="Arial" w:cs="Arial"/>
          <w:sz w:val="21"/>
          <w:szCs w:val="21"/>
        </w:rPr>
        <w:t>), il</w:t>
      </w:r>
      <w:r>
        <w:rPr>
          <w:rFonts w:ascii="Arial" w:hAnsi="Arial" w:cs="Arial"/>
          <w:color w:val="auto"/>
          <w:sz w:val="21"/>
          <w:szCs w:val="21"/>
        </w:rPr>
        <w:t xml:space="preserve"> Responsabile</w:t>
      </w:r>
      <w:r>
        <w:rPr>
          <w:rFonts w:ascii="Arial" w:hAnsi="Arial" w:cs="Arial"/>
          <w:sz w:val="21"/>
          <w:szCs w:val="21"/>
        </w:rPr>
        <w:t xml:space="preserve"> della Pre-venzione della Corruzione e della Trasparenza, provvederà nel corso del 2021 ad effettuare n° 2 monitoraggi con cadenza semestrale e vigilerà sull'aggiornamento delle pagine della sezione “Amministrazione Trasparente” nel sito istituzionale. </w:t>
      </w:r>
    </w:p>
    <w:p w:rsidR="00582DE2" w:rsidRDefault="00582DE2" w:rsidP="00582DE2">
      <w:pPr>
        <w:pStyle w:val="Default"/>
        <w:spacing w:before="100" w:after="0" w:line="240" w:lineRule="auto"/>
        <w:rPr>
          <w:rFonts w:ascii="Arial" w:hAnsi="Arial" w:cs="Arial"/>
          <w:sz w:val="21"/>
          <w:szCs w:val="21"/>
        </w:rPr>
      </w:pPr>
      <w:r>
        <w:rPr>
          <w:rFonts w:ascii="Arial" w:hAnsi="Arial" w:cs="Arial"/>
          <w:sz w:val="21"/>
          <w:szCs w:val="21"/>
        </w:rPr>
        <w:t>Gli stessi uffici sono tenuti altresì a dare corretta e puntuale attuazione, nelle materie di propria competenza, alle istanze di accesso civico generalizzato.</w:t>
      </w:r>
    </w:p>
    <w:p w:rsidR="00582DE2" w:rsidRDefault="00582DE2" w:rsidP="00582DE2">
      <w:pPr>
        <w:pStyle w:val="Default"/>
        <w:spacing w:before="100" w:after="0" w:line="240" w:lineRule="auto"/>
        <w:rPr>
          <w:rFonts w:ascii="Arial" w:hAnsi="Arial" w:cs="Arial"/>
          <w:sz w:val="21"/>
          <w:szCs w:val="21"/>
        </w:rPr>
      </w:pPr>
      <w:r>
        <w:rPr>
          <w:rFonts w:ascii="Arial" w:hAnsi="Arial" w:cs="Arial"/>
          <w:sz w:val="21"/>
          <w:szCs w:val="21"/>
        </w:rPr>
        <w:t>Laddove il D.lg. 33/2013 non menzioni in maniera esplicita la data di pubblicazione e, conseguentemente di aggiornamento, viene in evidenza quanto precisato in via generale nell’art. 8, commi 1 e 2, dovendo quindi intendersi che l’amministrazione sia tenuta alla pubblicazione e, di conseguenza, a un aggiornamento tempestivo. Considerato come il PNA 2018 sulla questione abbia valutato opportuno non vincolare in modo predeterminato le amministrazioni ma abbia preferito rimettere all’autonomia organizzativa degli enti la declinazione del concetto di tempestività in base allo scopo della norma e alle caratteristiche dimensionali di ciascun ente, si ritiene di interpretare il concetto di tempestività e fissare un termine semestrale secondo i principi di ragionevolezza e responsabilità, idonei ad assicurare, nel rispetto dello scopo della normativa sulla trasparenza, la continuità, la celerità e l’aggiornamento costante dei dati.</w:t>
      </w:r>
    </w:p>
    <w:p w:rsidR="00582DE2" w:rsidRDefault="00582DE2" w:rsidP="00582DE2">
      <w:pPr>
        <w:pStyle w:val="Default"/>
        <w:spacing w:before="100" w:after="0" w:line="240" w:lineRule="auto"/>
        <w:rPr>
          <w:rFonts w:ascii="Arial" w:hAnsi="Arial" w:cs="Arial"/>
          <w:sz w:val="21"/>
          <w:szCs w:val="21"/>
        </w:rPr>
      </w:pPr>
      <w:r>
        <w:rPr>
          <w:rFonts w:ascii="Arial" w:hAnsi="Arial" w:cs="Arial"/>
          <w:sz w:val="21"/>
          <w:szCs w:val="21"/>
        </w:rPr>
        <w:t xml:space="preserve">Come evidenziato anche dalla Corte costituzionale nella sentenza n. 20/2019, occorrerà operare un bilanciamento tra il diritto alla riservatezza dei dati personali, inteso come diritto a controllare la circolazione delle informazioni riferite alla propria persona, e quello dei cittadini al libero accesso ai dati ed alle informazioni detenuti dalle pubbliche amministrazioni. </w:t>
      </w:r>
    </w:p>
    <w:p w:rsidR="00582DE2" w:rsidRDefault="00582DE2" w:rsidP="00582DE2">
      <w:pPr>
        <w:pStyle w:val="Default"/>
        <w:spacing w:before="100" w:after="0" w:line="240" w:lineRule="auto"/>
        <w:rPr>
          <w:rFonts w:ascii="Arial" w:hAnsi="Arial" w:cs="Arial"/>
          <w:sz w:val="21"/>
          <w:szCs w:val="21"/>
        </w:rPr>
      </w:pPr>
      <w:r>
        <w:rPr>
          <w:rFonts w:ascii="Arial" w:hAnsi="Arial" w:cs="Arial"/>
          <w:sz w:val="21"/>
          <w:szCs w:val="21"/>
        </w:rPr>
        <w:t xml:space="preserve">Prima di mettere a disposizione sui propri siti web istituzionali dati e documenti (in forma integrale o per estratto, ivi compresi gli allegati) contenenti dati personali, si provvederà a verificare che la disciplina in materia di trasparenza contenuta nel d.lgs. 33/2013 o in altre normative, anche di settore, preveda l’obbligo di pubblicazione. L’attività di pubblicazione dei dati sui siti web per finalità di trasparenza, anche se effettuata in presenza di idoneo presupposto normativo, deve avvenire nel rispetto di tutti i principi applicabili al trattamento dei dati personali contenuti all’art. 5 del Regolamento (UE) 2016/679, quali quelli di, liceità, correttezza e trasparenza, minimizzazione dei dati, esattezza; limitazione della conservazione, </w:t>
      </w:r>
      <w:r>
        <w:rPr>
          <w:rFonts w:ascii="Arial" w:hAnsi="Arial" w:cs="Arial"/>
          <w:sz w:val="21"/>
          <w:szCs w:val="21"/>
        </w:rPr>
        <w:lastRenderedPageBreak/>
        <w:t xml:space="preserve">integrità e riservatezza, tenendo anche conto del principio di “responsabilizzazione” del titolare del trattamento. </w:t>
      </w:r>
    </w:p>
    <w:p w:rsidR="00582DE2" w:rsidRDefault="00582DE2" w:rsidP="00582DE2">
      <w:pPr>
        <w:pStyle w:val="Default"/>
        <w:spacing w:before="100" w:after="0" w:line="240" w:lineRule="auto"/>
      </w:pPr>
      <w:r>
        <w:rPr>
          <w:rFonts w:ascii="Symbol" w:eastAsia="Symbol" w:hAnsi="Symbol" w:cs="Symbol"/>
          <w:sz w:val="21"/>
          <w:szCs w:val="21"/>
        </w:rPr>
        <w:t></w:t>
      </w:r>
      <w:r>
        <w:rPr>
          <w:rFonts w:ascii="Arial" w:hAnsi="Arial" w:cs="Arial"/>
          <w:sz w:val="21"/>
          <w:szCs w:val="21"/>
        </w:rPr>
        <w:t xml:space="preserve"> modalità di attuazione: controlli periodici sui dati pubblicati </w:t>
      </w:r>
    </w:p>
    <w:p w:rsidR="00582DE2" w:rsidRDefault="00582DE2" w:rsidP="00582DE2">
      <w:pPr>
        <w:pStyle w:val="Default"/>
        <w:spacing w:before="100" w:after="0" w:line="240" w:lineRule="auto"/>
      </w:pPr>
      <w:r>
        <w:rPr>
          <w:rFonts w:ascii="Symbol" w:eastAsia="Symbol" w:hAnsi="Symbol" w:cs="Symbol"/>
          <w:sz w:val="21"/>
          <w:szCs w:val="21"/>
        </w:rPr>
        <w:t></w:t>
      </w:r>
      <w:r>
        <w:rPr>
          <w:rFonts w:ascii="Arial" w:hAnsi="Arial" w:cs="Arial"/>
          <w:sz w:val="21"/>
          <w:szCs w:val="21"/>
        </w:rPr>
        <w:t xml:space="preserve"> fasi di attuazione: semestrali </w:t>
      </w:r>
    </w:p>
    <w:p w:rsidR="00582DE2" w:rsidRDefault="00582DE2" w:rsidP="00582DE2">
      <w:pPr>
        <w:pStyle w:val="Default"/>
        <w:spacing w:before="100" w:after="0" w:line="240" w:lineRule="auto"/>
      </w:pPr>
      <w:r>
        <w:rPr>
          <w:rFonts w:ascii="Symbol" w:eastAsia="Symbol" w:hAnsi="Symbol" w:cs="Symbol"/>
          <w:sz w:val="21"/>
          <w:szCs w:val="21"/>
        </w:rPr>
        <w:t></w:t>
      </w:r>
      <w:r>
        <w:rPr>
          <w:rFonts w:ascii="Arial" w:hAnsi="Arial" w:cs="Arial"/>
          <w:sz w:val="21"/>
          <w:szCs w:val="21"/>
        </w:rPr>
        <w:t xml:space="preserve"> tempi di attuazione: 2021 </w:t>
      </w:r>
    </w:p>
    <w:p w:rsidR="00582DE2" w:rsidRDefault="00582DE2" w:rsidP="00582DE2">
      <w:pPr>
        <w:pStyle w:val="Default"/>
        <w:spacing w:before="100" w:after="0" w:line="240" w:lineRule="auto"/>
      </w:pPr>
      <w:r>
        <w:rPr>
          <w:rFonts w:ascii="Symbol" w:eastAsia="Symbol" w:hAnsi="Symbol" w:cs="Symbol"/>
          <w:sz w:val="21"/>
          <w:szCs w:val="21"/>
        </w:rPr>
        <w:t></w:t>
      </w:r>
      <w:r>
        <w:rPr>
          <w:rFonts w:ascii="Arial" w:hAnsi="Arial" w:cs="Arial"/>
          <w:sz w:val="21"/>
          <w:szCs w:val="21"/>
        </w:rPr>
        <w:t xml:space="preserve"> responsabili: RPCT </w:t>
      </w:r>
    </w:p>
    <w:p w:rsidR="00582DE2" w:rsidRDefault="00582DE2" w:rsidP="00582DE2">
      <w:pPr>
        <w:pStyle w:val="Default"/>
        <w:spacing w:before="100" w:after="0" w:line="240" w:lineRule="auto"/>
      </w:pPr>
      <w:r>
        <w:rPr>
          <w:rFonts w:ascii="Symbol" w:eastAsia="Symbol" w:hAnsi="Symbol" w:cs="Symbol"/>
          <w:sz w:val="21"/>
          <w:szCs w:val="21"/>
        </w:rPr>
        <w:t></w:t>
      </w:r>
      <w:r>
        <w:rPr>
          <w:rFonts w:ascii="Arial" w:hAnsi="Arial" w:cs="Arial"/>
          <w:sz w:val="21"/>
          <w:szCs w:val="21"/>
        </w:rPr>
        <w:t xml:space="preserve"> indicatori di monitoraggio: report del controllo eseguito</w:t>
      </w:r>
    </w:p>
    <w:p w:rsidR="00582DE2" w:rsidRDefault="00582DE2" w:rsidP="00582DE2">
      <w:pPr>
        <w:pStyle w:val="Default"/>
        <w:spacing w:before="100" w:after="0" w:line="240" w:lineRule="auto"/>
      </w:pPr>
    </w:p>
    <w:p w:rsidR="00582DE2" w:rsidRDefault="00582DE2" w:rsidP="00080553">
      <w:pPr>
        <w:pStyle w:val="Titolo2"/>
        <w:jc w:val="left"/>
        <w:rPr>
          <w:i/>
          <w:sz w:val="21"/>
          <w:szCs w:val="21"/>
        </w:rPr>
      </w:pPr>
      <w:r>
        <w:rPr>
          <w:sz w:val="21"/>
          <w:szCs w:val="21"/>
        </w:rPr>
        <w:t>8.6. TUTELA DEL DIPENDENTE CHE SEGNALA ILLECITI (WHISTLEBLOWER)</w:t>
      </w:r>
      <w:bookmarkEnd w:id="20"/>
    </w:p>
    <w:p w:rsidR="00582DE2" w:rsidRDefault="00582DE2" w:rsidP="00582DE2">
      <w:pPr>
        <w:pStyle w:val="Default"/>
        <w:spacing w:before="100" w:after="0" w:line="240" w:lineRule="auto"/>
        <w:rPr>
          <w:rFonts w:ascii="Arial" w:hAnsi="Arial" w:cs="Arial"/>
          <w:color w:val="auto"/>
          <w:sz w:val="21"/>
          <w:szCs w:val="21"/>
        </w:rPr>
      </w:pPr>
      <w:bookmarkStart w:id="21" w:name="__RefHeading___Toc1976_761212699"/>
      <w:r>
        <w:rPr>
          <w:rFonts w:ascii="Arial" w:hAnsi="Arial" w:cs="Arial"/>
          <w:color w:val="auto"/>
          <w:sz w:val="21"/>
          <w:szCs w:val="21"/>
        </w:rPr>
        <w:t>Il RPCT si è impegnato ad applicare effettivamente la normativa sulla segnalazione da parte del dipendente di condotte illecite di cui sia venuto a conoscenza, di cui all’art. 54-bis del d.lgs. n. 165/2001 e della legge n. 197/2017, attraverso la definizione della procedura da adottare e la divulgazione della stessa sia ai dipendenti che ai soggetti esterni.</w:t>
      </w:r>
    </w:p>
    <w:p w:rsidR="00582DE2" w:rsidRDefault="00582DE2" w:rsidP="00582DE2">
      <w:pPr>
        <w:pStyle w:val="Default"/>
        <w:spacing w:before="100" w:after="0" w:line="240" w:lineRule="auto"/>
        <w:rPr>
          <w:rFonts w:ascii="Arial" w:hAnsi="Arial" w:cs="Arial"/>
          <w:color w:val="auto"/>
          <w:sz w:val="21"/>
          <w:szCs w:val="21"/>
        </w:rPr>
      </w:pPr>
      <w:r>
        <w:rPr>
          <w:rFonts w:ascii="Arial" w:hAnsi="Arial" w:cs="Arial"/>
          <w:color w:val="auto"/>
          <w:sz w:val="21"/>
          <w:szCs w:val="21"/>
        </w:rPr>
        <w:t xml:space="preserve">In proposito si segnala che è messo a disposizione nel sito web istituzionale, nella sezione “Amministrazione Trasparente” sotto-sezione “Altri contenuti – Prevenzione della corruzione – Piano Triennale di Prevenzione della Corruzione e Trasparenza – Segnalazione illeciti ed altra modulistica in materia di anticorruzione” un modulo che garantisce la raccolta di tutti gli elementi utili alla ricostruzione del fatto e ad accertare la fondatezza della segnalazione. </w:t>
      </w:r>
    </w:p>
    <w:p w:rsidR="00517541" w:rsidRPr="00517541" w:rsidRDefault="00517541" w:rsidP="00517541">
      <w:pPr>
        <w:suppressAutoHyphens/>
        <w:autoSpaceDN w:val="0"/>
        <w:spacing w:before="100"/>
        <w:jc w:val="both"/>
        <w:rPr>
          <w:rFonts w:ascii="Garamond" w:eastAsia="Garamond" w:hAnsi="Garamond" w:cs="Garamond"/>
          <w:color w:val="000000"/>
          <w:kern w:val="3"/>
          <w:lang w:eastAsia="zh-CN"/>
        </w:rPr>
      </w:pPr>
      <w:r w:rsidRPr="00517541">
        <w:rPr>
          <w:rFonts w:ascii="Arial" w:eastAsia="Garamond" w:hAnsi="Arial" w:cs="Arial"/>
          <w:kern w:val="3"/>
          <w:sz w:val="21"/>
          <w:szCs w:val="21"/>
          <w:lang w:eastAsia="zh-CN"/>
        </w:rPr>
        <w:t xml:space="preserve">L’Amministrazione ha allo studio l’attivazione di un sistema automatico di segnalazione che consenta al  </w:t>
      </w:r>
      <w:r w:rsidRPr="00517541">
        <w:rPr>
          <w:rFonts w:ascii="Arial" w:eastAsia="Garamond" w:hAnsi="Arial" w:cs="Arial"/>
          <w:i/>
          <w:iCs/>
          <w:kern w:val="3"/>
          <w:sz w:val="21"/>
          <w:szCs w:val="21"/>
          <w:lang w:eastAsia="zh-CN"/>
        </w:rPr>
        <w:t>Whistleblowing”</w:t>
      </w:r>
      <w:r w:rsidRPr="00517541">
        <w:rPr>
          <w:rFonts w:ascii="Arial" w:eastAsia="Garamond" w:hAnsi="Arial" w:cs="Arial"/>
          <w:kern w:val="3"/>
          <w:sz w:val="21"/>
          <w:szCs w:val="21"/>
          <w:lang w:eastAsia="zh-CN"/>
        </w:rPr>
        <w:t xml:space="preserve"> il rispetto dell’anonimato nelle segnalazioni, anche eventualmente aderendo a piattaforme predisposte dal Consorzio dei Comuni Trentini (delibera di Giunta comunale n. 110 di data 20.12.2019) Il servizio, in affidamento diretto, avrà scadenza il 30.06.2022 e dovrà essere eventualmente rinnovato nel corso del presente anno. </w:t>
      </w:r>
      <w:r w:rsidRPr="00517541">
        <w:rPr>
          <w:rFonts w:ascii="Garamond" w:eastAsia="Garamond" w:hAnsi="Garamond" w:cs="Garamond"/>
          <w:color w:val="000000"/>
          <w:kern w:val="3"/>
          <w:lang w:eastAsia="zh-CN"/>
        </w:rPr>
        <w:t xml:space="preserve"> </w:t>
      </w:r>
    </w:p>
    <w:p w:rsidR="00257A14" w:rsidRDefault="00257A14" w:rsidP="00080553">
      <w:pPr>
        <w:pStyle w:val="Titolo2"/>
        <w:jc w:val="left"/>
        <w:rPr>
          <w:sz w:val="21"/>
          <w:szCs w:val="21"/>
        </w:rPr>
      </w:pPr>
    </w:p>
    <w:p w:rsidR="00582DE2" w:rsidRDefault="00582DE2" w:rsidP="00080553">
      <w:pPr>
        <w:pStyle w:val="Titolo2"/>
        <w:jc w:val="left"/>
        <w:rPr>
          <w:i/>
          <w:sz w:val="21"/>
          <w:szCs w:val="21"/>
        </w:rPr>
      </w:pPr>
      <w:r>
        <w:rPr>
          <w:sz w:val="21"/>
          <w:szCs w:val="21"/>
        </w:rPr>
        <w:t>8.7. IL CODICE DI COMPORTAMENTO</w:t>
      </w:r>
      <w:bookmarkEnd w:id="21"/>
    </w:p>
    <w:p w:rsidR="00582DE2" w:rsidRDefault="00582DE2" w:rsidP="00582DE2">
      <w:pPr>
        <w:pStyle w:val="Default"/>
        <w:spacing w:before="100" w:after="0" w:line="240" w:lineRule="auto"/>
      </w:pPr>
      <w:r>
        <w:rPr>
          <w:rFonts w:ascii="Arial" w:hAnsi="Arial" w:cs="Arial"/>
          <w:sz w:val="21"/>
          <w:szCs w:val="21"/>
        </w:rPr>
        <w:t xml:space="preserve">L’Amministrazione si è impegnata ad adottare le misure che garantiscano il rispetto dei principi dettati dalle norme del codice di comportamento dei dipendenti delle pubbliche amministrazioni di cui al D.P.R. 16 aprile 2013, n. 62, approvando con deliberazione </w:t>
      </w:r>
      <w:r w:rsidRPr="00080553">
        <w:rPr>
          <w:rFonts w:ascii="Arial" w:hAnsi="Arial" w:cs="Arial"/>
          <w:sz w:val="21"/>
          <w:szCs w:val="21"/>
        </w:rPr>
        <w:t xml:space="preserve">della Giunta comunale n. </w:t>
      </w:r>
      <w:r w:rsidR="00080553" w:rsidRPr="00080553">
        <w:rPr>
          <w:rFonts w:ascii="Arial" w:hAnsi="Arial" w:cs="Arial"/>
          <w:sz w:val="21"/>
          <w:szCs w:val="21"/>
        </w:rPr>
        <w:t>68/</w:t>
      </w:r>
      <w:r w:rsidRPr="00080553">
        <w:rPr>
          <w:rFonts w:ascii="Arial" w:hAnsi="Arial" w:cs="Arial"/>
          <w:sz w:val="21"/>
          <w:szCs w:val="21"/>
        </w:rPr>
        <w:t>2014,</w:t>
      </w:r>
      <w:r>
        <w:rPr>
          <w:rFonts w:ascii="Arial" w:hAnsi="Arial" w:cs="Arial"/>
          <w:sz w:val="21"/>
          <w:szCs w:val="21"/>
        </w:rPr>
        <w:t xml:space="preserve"> non solo da parte dei propri dipendenti, ma anche, laddove compatibili, da parte di tutti i collaboratori dell’amministrazione, dei titolari di organi e di incarichi negli uffici di diretta collaborazione delle autorità, dei collaboratori a qualsiasi titolo di imprese fornitrici di beni o servizi o che realizzano opere in favore dell’amministrazione così come recepiti in sede di Autonomia provinciale e regionale.</w:t>
      </w:r>
    </w:p>
    <w:p w:rsidR="00582DE2" w:rsidRDefault="00582DE2" w:rsidP="00582DE2">
      <w:pPr>
        <w:pStyle w:val="Default"/>
        <w:spacing w:before="100" w:after="0" w:line="240" w:lineRule="auto"/>
        <w:rPr>
          <w:rFonts w:ascii="Arial" w:hAnsi="Arial" w:cs="Arial"/>
          <w:sz w:val="21"/>
          <w:szCs w:val="21"/>
        </w:rPr>
      </w:pPr>
      <w:r>
        <w:rPr>
          <w:rFonts w:ascii="Arial" w:hAnsi="Arial" w:cs="Arial"/>
          <w:sz w:val="21"/>
          <w:szCs w:val="21"/>
        </w:rPr>
        <w:t>Nei modelli di lettera di invito e nei capitolati d’appalto si fa riferimento all’obbligo di osservanza del codice di comportamento del Comune di Telve</w:t>
      </w:r>
      <w:r w:rsidR="00AE18B4">
        <w:rPr>
          <w:rFonts w:ascii="Arial" w:hAnsi="Arial" w:cs="Arial"/>
          <w:sz w:val="21"/>
          <w:szCs w:val="21"/>
        </w:rPr>
        <w:t xml:space="preserve"> di Sopra</w:t>
      </w:r>
      <w:r>
        <w:rPr>
          <w:rFonts w:ascii="Arial" w:hAnsi="Arial" w:cs="Arial"/>
          <w:sz w:val="21"/>
          <w:szCs w:val="21"/>
        </w:rPr>
        <w:t>.</w:t>
      </w:r>
    </w:p>
    <w:p w:rsidR="00582DE2" w:rsidRDefault="00582DE2" w:rsidP="00582DE2">
      <w:pPr>
        <w:pStyle w:val="Default"/>
        <w:spacing w:before="100" w:after="0" w:line="240" w:lineRule="auto"/>
      </w:pPr>
      <w:r>
        <w:rPr>
          <w:rFonts w:ascii="Arial" w:hAnsi="Arial" w:cs="Arial"/>
          <w:sz w:val="21"/>
          <w:szCs w:val="21"/>
        </w:rPr>
        <w:t xml:space="preserve">L’Amministrazione si è impegnata ad adottare le misure necessarie all’effettiva attivazione della responsabilità disciplinare dei dipendenti, in caso di violazione dei doveri di comportamento, </w:t>
      </w:r>
      <w:r>
        <w:rPr>
          <w:rFonts w:ascii="Arial" w:hAnsi="Arial" w:cs="Arial"/>
          <w:bCs/>
          <w:sz w:val="21"/>
          <w:szCs w:val="21"/>
        </w:rPr>
        <w:t>ivi incluso il dovere di rispettare le prescrizioni contenute nel piano triennale.</w:t>
      </w:r>
    </w:p>
    <w:p w:rsidR="00582DE2" w:rsidRDefault="00582DE2" w:rsidP="00582DE2">
      <w:pPr>
        <w:pStyle w:val="Default"/>
        <w:spacing w:before="100" w:after="0" w:line="240" w:lineRule="auto"/>
        <w:rPr>
          <w:rFonts w:ascii="Arial" w:hAnsi="Arial" w:cs="Arial"/>
          <w:bCs/>
          <w:sz w:val="21"/>
          <w:szCs w:val="21"/>
        </w:rPr>
      </w:pPr>
      <w:r>
        <w:rPr>
          <w:rFonts w:ascii="Arial" w:hAnsi="Arial" w:cs="Arial"/>
          <w:bCs/>
          <w:sz w:val="21"/>
          <w:szCs w:val="21"/>
        </w:rPr>
        <w:t>L’Ente si impegna, nel corso del 2021, a rivisitare il Codice di comportamento, tenendo conto delle risultanze dei monitoraggi effettuati e alla luce delle aree di rischio evidenziate in questo Piano e nei Piani precedentemente adottati.</w:t>
      </w:r>
    </w:p>
    <w:p w:rsidR="00582DE2" w:rsidRDefault="00582DE2" w:rsidP="00582DE2">
      <w:pPr>
        <w:pStyle w:val="Default"/>
        <w:spacing w:before="100" w:after="0" w:line="240" w:lineRule="auto"/>
        <w:rPr>
          <w:rFonts w:ascii="Arial" w:hAnsi="Arial" w:cs="Arial"/>
          <w:bCs/>
          <w:sz w:val="21"/>
          <w:szCs w:val="21"/>
        </w:rPr>
      </w:pPr>
    </w:p>
    <w:p w:rsidR="00582DE2" w:rsidRDefault="00582DE2" w:rsidP="00080553">
      <w:pPr>
        <w:pStyle w:val="Titolo2"/>
        <w:jc w:val="left"/>
        <w:rPr>
          <w:i/>
          <w:sz w:val="21"/>
          <w:szCs w:val="21"/>
        </w:rPr>
      </w:pPr>
      <w:bookmarkStart w:id="22" w:name="__RefHeading___Toc1978_761212699"/>
      <w:r>
        <w:rPr>
          <w:sz w:val="21"/>
          <w:szCs w:val="21"/>
        </w:rPr>
        <w:t>8.8. INCARICHI EXTRAISTITUZIONALI</w:t>
      </w:r>
      <w:bookmarkEnd w:id="22"/>
    </w:p>
    <w:p w:rsidR="00582DE2" w:rsidRPr="00F0267E" w:rsidRDefault="00582DE2" w:rsidP="00F0267E">
      <w:pPr>
        <w:pStyle w:val="Default"/>
        <w:spacing w:before="100" w:after="0" w:line="240" w:lineRule="auto"/>
        <w:rPr>
          <w:rFonts w:ascii="Arial" w:hAnsi="Arial" w:cs="Arial"/>
          <w:bCs/>
          <w:sz w:val="21"/>
          <w:szCs w:val="21"/>
        </w:rPr>
      </w:pPr>
      <w:r w:rsidRPr="00F0267E">
        <w:rPr>
          <w:rFonts w:ascii="Arial" w:hAnsi="Arial" w:cs="Arial"/>
          <w:bCs/>
          <w:sz w:val="21"/>
          <w:szCs w:val="21"/>
        </w:rPr>
        <w:t xml:space="preserve">Il cumolo in capo ad un medesimo dipendente di incarichi conferiti dall’Amministrazione può comportare un’eccessiva concentrazione di potere su un unico centro decisionale, con il rischio che l’attività possa essere indirizzata verso fini privati o impropri. Infatti, lo svolgimento di incarichi, soprattutto se extraistituzionali, da parte del dipendente può realizzare situazioni di conflitto di interesse che possono compromettere il buon andamento dell’azione amministrativa, ponendosi come sintomo dell’evenienza di fatti corruttivi. Per tale ragione, il conferimento operato direttamente dall’Amministrazione, nonché l’autorizzazione all’esercizio di incarichi che provengano da amministrazione pubblica diversa da quella </w:t>
      </w:r>
      <w:r w:rsidRPr="00F0267E">
        <w:rPr>
          <w:rFonts w:ascii="Arial" w:hAnsi="Arial" w:cs="Arial"/>
          <w:bCs/>
          <w:sz w:val="21"/>
          <w:szCs w:val="21"/>
        </w:rPr>
        <w:lastRenderedPageBreak/>
        <w:t>di appartenenza, ovvero da società o persone fisiche, che svolgono attività di impresa o commerciale, sono disposti dai rispettivi organi competenti secondo criteri oggettivi e predeterminati, che tengano conto della specifica professionalità, tali da escludere casi di incompatibilità, sia di diritto che di fatto, nell’interesse del buon andamento della Pubblica Amministrazione o situazioni di conflitto, anche potenziale, di interessi, che pregiudichino l’esercizio imparziale delle funzioni attribuite al dipendente.</w:t>
      </w:r>
    </w:p>
    <w:p w:rsidR="00582DE2" w:rsidRDefault="00582DE2" w:rsidP="00582DE2">
      <w:pPr>
        <w:autoSpaceDE w:val="0"/>
        <w:spacing w:before="100"/>
        <w:jc w:val="both"/>
        <w:rPr>
          <w:rFonts w:ascii="Arial" w:hAnsi="Arial" w:cs="Arial"/>
          <w:color w:val="000000"/>
          <w:sz w:val="21"/>
          <w:szCs w:val="21"/>
        </w:rPr>
      </w:pPr>
      <w:r>
        <w:rPr>
          <w:rFonts w:ascii="Arial" w:hAnsi="Arial" w:cs="Arial"/>
          <w:color w:val="000000"/>
          <w:sz w:val="21"/>
          <w:szCs w:val="21"/>
        </w:rPr>
        <w:t>L’Amministrazione si è quindi impegnata a:</w:t>
      </w:r>
    </w:p>
    <w:p w:rsidR="00582DE2" w:rsidRDefault="00582DE2" w:rsidP="00582DE2">
      <w:pPr>
        <w:numPr>
          <w:ilvl w:val="0"/>
          <w:numId w:val="40"/>
        </w:numPr>
        <w:suppressAutoHyphens/>
        <w:autoSpaceDE w:val="0"/>
        <w:autoSpaceDN w:val="0"/>
        <w:spacing w:before="100"/>
        <w:ind w:left="284" w:hanging="284"/>
        <w:jc w:val="both"/>
        <w:textAlignment w:val="baseline"/>
      </w:pPr>
      <w:r>
        <w:rPr>
          <w:rFonts w:ascii="Arial" w:hAnsi="Arial" w:cs="Arial"/>
          <w:color w:val="000000"/>
          <w:sz w:val="21"/>
          <w:szCs w:val="21"/>
        </w:rPr>
        <w:t xml:space="preserve">dare pubblicità alle misure volte alla vigilanza sull’attuazione delle disposizioni in materia di </w:t>
      </w:r>
      <w:r>
        <w:rPr>
          <w:rFonts w:ascii="Arial" w:hAnsi="Arial" w:cs="Arial"/>
          <w:b/>
          <w:color w:val="000000"/>
          <w:sz w:val="21"/>
          <w:szCs w:val="21"/>
        </w:rPr>
        <w:t>inconferibilità e incompatibilità degli incarichi</w:t>
      </w:r>
      <w:r>
        <w:rPr>
          <w:rFonts w:ascii="Arial" w:hAnsi="Arial" w:cs="Arial"/>
          <w:color w:val="000000"/>
          <w:sz w:val="21"/>
          <w:szCs w:val="21"/>
        </w:rPr>
        <w:t xml:space="preserve"> (di cui ai commi 49 e 50 della legge n. 190/2012), anche successivamente alla cessazione del Ufficio o al termine dell’incarico (vedi il d.lgs. N. 39/2013 finalizzato alla introduzione di griglie di incompatibilità negli incarichi "apicali" sia nelle amministrazioni dello stato che in quelle locali (regioni, province e comuni), ma anche negli enti di diritto privato che sono controllati da una pubblica amministrazione, nuovo comma 16-ter dell’articolo 53 del d.lgs. N. 165 del 2001).</w:t>
      </w:r>
    </w:p>
    <w:p w:rsidR="00582DE2" w:rsidRDefault="00582DE2" w:rsidP="00582DE2">
      <w:pPr>
        <w:numPr>
          <w:ilvl w:val="0"/>
          <w:numId w:val="41"/>
        </w:numPr>
        <w:tabs>
          <w:tab w:val="left" w:pos="568"/>
        </w:tabs>
        <w:suppressAutoHyphens/>
        <w:autoSpaceDE w:val="0"/>
        <w:autoSpaceDN w:val="0"/>
        <w:spacing w:before="100"/>
        <w:ind w:left="284" w:hanging="284"/>
        <w:jc w:val="both"/>
        <w:textAlignment w:val="baseline"/>
      </w:pPr>
      <w:r>
        <w:rPr>
          <w:rFonts w:ascii="Arial" w:hAnsi="Arial" w:cs="Arial"/>
          <w:color w:val="000000"/>
          <w:sz w:val="21"/>
          <w:szCs w:val="21"/>
        </w:rPr>
        <w:t xml:space="preserve">adottare misure di verifica dell’attuazione delle disposizioni di legge in materia di </w:t>
      </w:r>
      <w:r>
        <w:rPr>
          <w:rFonts w:ascii="Arial" w:hAnsi="Arial" w:cs="Arial"/>
          <w:b/>
          <w:color w:val="000000"/>
          <w:sz w:val="21"/>
          <w:szCs w:val="21"/>
        </w:rPr>
        <w:t>autorizzazione di incarichi esterni</w:t>
      </w:r>
      <w:r>
        <w:rPr>
          <w:rFonts w:ascii="Arial" w:hAnsi="Arial" w:cs="Arial"/>
          <w:color w:val="000000"/>
          <w:sz w:val="21"/>
          <w:szCs w:val="21"/>
        </w:rPr>
        <w:t xml:space="preserve">, così come modificate dal comma 42 della legge n. 190, anche alla luce delle conclusioni del tavolo tecnico esplicitate nel documento contenente </w:t>
      </w:r>
      <w:r>
        <w:rPr>
          <w:rFonts w:ascii="Arial" w:hAnsi="Arial" w:cs="Arial"/>
          <w:i/>
          <w:color w:val="000000"/>
          <w:sz w:val="21"/>
          <w:szCs w:val="21"/>
        </w:rPr>
        <w:t>"Criteri generali in materia di incarichi vietati ai pubblici dipendenti"</w:t>
      </w:r>
      <w:r>
        <w:rPr>
          <w:rFonts w:ascii="Arial" w:hAnsi="Arial" w:cs="Arial"/>
          <w:color w:val="000000"/>
          <w:sz w:val="21"/>
          <w:szCs w:val="21"/>
        </w:rPr>
        <w:t xml:space="preserve"> e delle conseguenti indicazioni della Regione T.A.A. esplicitate con circolare n.</w:t>
      </w:r>
      <w:r w:rsidR="009C5FEC">
        <w:rPr>
          <w:rFonts w:ascii="Arial" w:hAnsi="Arial" w:cs="Arial"/>
          <w:color w:val="000000"/>
          <w:sz w:val="21"/>
          <w:szCs w:val="21"/>
        </w:rPr>
        <w:t xml:space="preserve"> </w:t>
      </w:r>
      <w:r>
        <w:rPr>
          <w:rFonts w:ascii="Arial" w:hAnsi="Arial" w:cs="Arial"/>
          <w:color w:val="000000"/>
          <w:sz w:val="21"/>
          <w:szCs w:val="21"/>
        </w:rPr>
        <w:t>3/EL del 14 agosto 2014.</w:t>
      </w:r>
    </w:p>
    <w:p w:rsidR="00582DE2" w:rsidRDefault="00582DE2" w:rsidP="00582DE2">
      <w:pPr>
        <w:tabs>
          <w:tab w:val="left" w:pos="568"/>
        </w:tabs>
        <w:autoSpaceDE w:val="0"/>
        <w:spacing w:before="100"/>
        <w:jc w:val="both"/>
        <w:rPr>
          <w:rFonts w:ascii="Arial" w:hAnsi="Arial" w:cs="Arial"/>
          <w:sz w:val="21"/>
          <w:szCs w:val="21"/>
        </w:rPr>
      </w:pPr>
      <w:r>
        <w:rPr>
          <w:rFonts w:ascii="Arial" w:hAnsi="Arial" w:cs="Arial"/>
          <w:sz w:val="21"/>
          <w:szCs w:val="21"/>
        </w:rPr>
        <w:t>La procedura per richiedere l’autorizzazione allo svolgimento di un incarico extra-istituzionale è disciplinata dal Capo II del Regolamento organico del personale del Comune di San Martino di Castrozza.</w:t>
      </w:r>
    </w:p>
    <w:p w:rsidR="00582DE2" w:rsidRDefault="00582DE2" w:rsidP="00582DE2">
      <w:pPr>
        <w:autoSpaceDE w:val="0"/>
        <w:spacing w:before="100"/>
        <w:jc w:val="both"/>
      </w:pPr>
      <w:r>
        <w:rPr>
          <w:rFonts w:ascii="Arial" w:hAnsi="Arial" w:cs="Arial"/>
          <w:sz w:val="21"/>
          <w:szCs w:val="21"/>
        </w:rPr>
        <w:t xml:space="preserve">Il RPCT si impegna </w:t>
      </w:r>
      <w:r>
        <w:rPr>
          <w:rFonts w:ascii="Arial" w:hAnsi="Arial" w:cs="Arial"/>
          <w:color w:val="000000"/>
          <w:sz w:val="21"/>
          <w:szCs w:val="21"/>
        </w:rPr>
        <w:t>a prevedere forme di presa d’atto, da parte dei dipendenti, del piano triennale di prevenzione della corruzione sia al momento dell’assunzione sia, per quelli in Ufficio, durante il servizio.</w:t>
      </w:r>
    </w:p>
    <w:p w:rsidR="00582DE2" w:rsidRDefault="00582DE2" w:rsidP="00582DE2">
      <w:pPr>
        <w:pStyle w:val="Default"/>
        <w:spacing w:before="100" w:after="0" w:line="240" w:lineRule="auto"/>
        <w:rPr>
          <w:rFonts w:ascii="Arial" w:hAnsi="Arial" w:cs="Arial"/>
          <w:sz w:val="21"/>
          <w:szCs w:val="21"/>
        </w:rPr>
      </w:pPr>
    </w:p>
    <w:p w:rsidR="00582DE2" w:rsidRDefault="00582DE2" w:rsidP="00080553">
      <w:pPr>
        <w:pStyle w:val="Titolo2"/>
        <w:jc w:val="left"/>
        <w:rPr>
          <w:i/>
          <w:sz w:val="21"/>
          <w:szCs w:val="21"/>
        </w:rPr>
      </w:pPr>
      <w:bookmarkStart w:id="23" w:name="__RefHeading___Toc1980_761212699"/>
      <w:r>
        <w:rPr>
          <w:sz w:val="21"/>
          <w:szCs w:val="21"/>
        </w:rPr>
        <w:t>8.9. COINVOLGIMENTO DEGLI STAKEHOLDER: ASCOLTO E DIALOGO CON IL TERRITORIO</w:t>
      </w:r>
      <w:bookmarkEnd w:id="23"/>
    </w:p>
    <w:p w:rsidR="00582DE2" w:rsidRDefault="00582DE2" w:rsidP="00582DE2">
      <w:pPr>
        <w:pStyle w:val="Default"/>
        <w:spacing w:before="100" w:after="0" w:line="240" w:lineRule="auto"/>
      </w:pPr>
      <w:r>
        <w:rPr>
          <w:rFonts w:ascii="Arial" w:hAnsi="Arial" w:cs="Arial"/>
          <w:sz w:val="21"/>
          <w:szCs w:val="21"/>
        </w:rPr>
        <w:t xml:space="preserve">Si intende coinvolgere gli </w:t>
      </w:r>
      <w:r>
        <w:rPr>
          <w:rFonts w:ascii="Arial" w:hAnsi="Arial" w:cs="Arial"/>
          <w:i/>
          <w:iCs/>
          <w:sz w:val="21"/>
          <w:szCs w:val="21"/>
        </w:rPr>
        <w:t>stakeholders</w:t>
      </w:r>
      <w:r>
        <w:rPr>
          <w:rFonts w:ascii="Arial" w:hAnsi="Arial" w:cs="Arial"/>
          <w:sz w:val="21"/>
          <w:szCs w:val="21"/>
        </w:rPr>
        <w:t xml:space="preserve"> attraverso la pubblicazione sul sito web istituzionale di apposito avviso per le eventuali osservazioni/opposizioni al piano approvato dalla Giunta comunale.</w:t>
      </w:r>
    </w:p>
    <w:p w:rsidR="00582DE2" w:rsidRDefault="00582DE2" w:rsidP="00582DE2">
      <w:pPr>
        <w:pStyle w:val="Standard"/>
        <w:spacing w:before="100" w:after="0" w:line="240" w:lineRule="auto"/>
        <w:jc w:val="both"/>
      </w:pPr>
      <w:r>
        <w:rPr>
          <w:rFonts w:ascii="Arial" w:hAnsi="Arial" w:cs="Arial"/>
          <w:sz w:val="21"/>
          <w:szCs w:val="21"/>
        </w:rPr>
        <w:t xml:space="preserve">Infine, per quanto concerne </w:t>
      </w:r>
      <w:r>
        <w:rPr>
          <w:rFonts w:ascii="Arial" w:hAnsi="Arial" w:cs="Arial"/>
          <w:b/>
          <w:sz w:val="21"/>
          <w:szCs w:val="21"/>
        </w:rPr>
        <w:t>l’aspetto formativo</w:t>
      </w:r>
      <w:r>
        <w:rPr>
          <w:rFonts w:ascii="Arial" w:hAnsi="Arial" w:cs="Arial"/>
          <w:sz w:val="21"/>
          <w:szCs w:val="21"/>
        </w:rPr>
        <w:t xml:space="preserve"> – essenziale per il mantenimento e lo sviluppo del Piano nel tempo, si ribadisce come - in linea con la Convenzione delle Nazioni unite contro la corruzione, adottata dall’Assemblea generale dell’O.N.U. il 31 ottobre 2003, la L. 190/2012 attribuisce particolare importanza alla formazione del personale addetto alle aree a più elevato rischio, per cui è prevista, in occasione della predisposizione del Piano della formazione, particolare attenzione alle tematiche della trasparenza e della integrità, sia dal punto di vista della conoscenza della normativa e degli strumenti previsti nel Piano che dal punto di vista valoriale, in modo da accrescere sempre più lo sviluppo del senso etico.</w:t>
      </w:r>
    </w:p>
    <w:p w:rsidR="00582DE2" w:rsidRDefault="00582DE2" w:rsidP="00582DE2">
      <w:pPr>
        <w:pStyle w:val="Standard"/>
        <w:spacing w:before="100" w:after="0" w:line="240" w:lineRule="auto"/>
        <w:jc w:val="both"/>
        <w:rPr>
          <w:rFonts w:ascii="Arial" w:hAnsi="Arial" w:cs="Arial"/>
          <w:sz w:val="21"/>
          <w:szCs w:val="21"/>
        </w:rPr>
      </w:pPr>
    </w:p>
    <w:p w:rsidR="00582DE2" w:rsidRDefault="00582DE2" w:rsidP="00080553">
      <w:pPr>
        <w:pStyle w:val="Titolo2"/>
        <w:jc w:val="left"/>
        <w:rPr>
          <w:i/>
          <w:sz w:val="21"/>
          <w:szCs w:val="21"/>
        </w:rPr>
      </w:pPr>
      <w:bookmarkStart w:id="24" w:name="__RefHeading___Toc1982_761212699"/>
      <w:r>
        <w:rPr>
          <w:sz w:val="21"/>
          <w:szCs w:val="21"/>
        </w:rPr>
        <w:t>8.10. RISPETTO DELLA NORMATIVA SULLA SCELTA DEL CONTRAENTE</w:t>
      </w:r>
      <w:bookmarkEnd w:id="24"/>
    </w:p>
    <w:p w:rsidR="00582DE2" w:rsidRDefault="00582DE2" w:rsidP="00582DE2">
      <w:pPr>
        <w:pStyle w:val="Standard"/>
        <w:spacing w:before="100" w:after="0" w:line="240" w:lineRule="auto"/>
        <w:jc w:val="both"/>
        <w:rPr>
          <w:rFonts w:ascii="Arial" w:hAnsi="Arial" w:cs="Arial"/>
          <w:sz w:val="21"/>
          <w:szCs w:val="21"/>
        </w:rPr>
      </w:pPr>
      <w:r>
        <w:rPr>
          <w:rFonts w:ascii="Arial" w:hAnsi="Arial" w:cs="Arial"/>
          <w:sz w:val="21"/>
          <w:szCs w:val="21"/>
        </w:rPr>
        <w:t>In assenza di precedenti critici, l’impegno dell’amministrazione è concentrato sul rispetto puntuale della normativa di dettaglio e delle Linee guida espresse da ANAC, anche attraverso l’utilizzo della Centrale di committenza Provinciale e degli strumenti del mercato elettronico provinciale (MERCURIO – MEPAT) e nazionale (CONSIP – MEPA).</w:t>
      </w:r>
    </w:p>
    <w:p w:rsidR="00582DE2" w:rsidRDefault="00582DE2" w:rsidP="00582DE2">
      <w:pPr>
        <w:pStyle w:val="Standard"/>
        <w:spacing w:before="100" w:after="0" w:line="240" w:lineRule="auto"/>
        <w:jc w:val="both"/>
        <w:rPr>
          <w:rFonts w:ascii="Arial" w:hAnsi="Arial" w:cs="Arial"/>
          <w:sz w:val="21"/>
          <w:szCs w:val="21"/>
        </w:rPr>
      </w:pPr>
    </w:p>
    <w:p w:rsidR="00582DE2" w:rsidRDefault="00582DE2" w:rsidP="00080553">
      <w:pPr>
        <w:pStyle w:val="Titolo2"/>
        <w:jc w:val="left"/>
        <w:rPr>
          <w:i/>
          <w:sz w:val="21"/>
          <w:szCs w:val="21"/>
        </w:rPr>
      </w:pPr>
      <w:bookmarkStart w:id="25" w:name="__RefHeading___Toc1984_761212699"/>
      <w:r>
        <w:rPr>
          <w:sz w:val="21"/>
          <w:szCs w:val="21"/>
        </w:rPr>
        <w:t>8.11. RISPETTO DELLA NORMATIVA SULLA PIANIFICAZIONE TERRITORIALE</w:t>
      </w:r>
      <w:bookmarkEnd w:id="25"/>
    </w:p>
    <w:p w:rsidR="00582DE2" w:rsidRDefault="00582DE2" w:rsidP="00582DE2">
      <w:pPr>
        <w:pStyle w:val="Standard"/>
        <w:spacing w:before="100" w:after="0" w:line="240" w:lineRule="auto"/>
        <w:jc w:val="both"/>
        <w:rPr>
          <w:rFonts w:ascii="Arial" w:hAnsi="Arial" w:cs="Arial"/>
          <w:sz w:val="21"/>
          <w:szCs w:val="21"/>
        </w:rPr>
      </w:pPr>
      <w:r>
        <w:rPr>
          <w:rFonts w:ascii="Arial" w:hAnsi="Arial" w:cs="Arial"/>
          <w:sz w:val="21"/>
          <w:szCs w:val="21"/>
        </w:rPr>
        <w:t>In assenza di precedenti critici, l’impegno dell’amministrazione è concentrato sul rispetto puntuale della normativa di dettaglio, prevedendo apposite misure.</w:t>
      </w:r>
    </w:p>
    <w:p w:rsidR="00582DE2" w:rsidRDefault="00582DE2" w:rsidP="00582DE2">
      <w:pPr>
        <w:pStyle w:val="Standard"/>
        <w:spacing w:before="100" w:after="0" w:line="240" w:lineRule="auto"/>
        <w:jc w:val="both"/>
        <w:rPr>
          <w:rFonts w:ascii="Arial" w:hAnsi="Arial" w:cs="Arial"/>
          <w:sz w:val="21"/>
          <w:szCs w:val="21"/>
        </w:rPr>
      </w:pPr>
    </w:p>
    <w:p w:rsidR="00582DE2" w:rsidRDefault="00582DE2" w:rsidP="00080553">
      <w:pPr>
        <w:pStyle w:val="Titolo2"/>
        <w:jc w:val="left"/>
        <w:rPr>
          <w:i/>
          <w:sz w:val="21"/>
          <w:szCs w:val="21"/>
        </w:rPr>
      </w:pPr>
      <w:r>
        <w:rPr>
          <w:sz w:val="21"/>
          <w:szCs w:val="21"/>
        </w:rPr>
        <w:t>8.12. OBBLIGO DI ASTENSIONE IN CASO DI CONFLITTO DI INTERESSI</w:t>
      </w:r>
    </w:p>
    <w:p w:rsidR="00582DE2" w:rsidRDefault="00582DE2" w:rsidP="00582DE2">
      <w:pPr>
        <w:pStyle w:val="Standard"/>
        <w:spacing w:before="100" w:after="0" w:line="240" w:lineRule="auto"/>
        <w:jc w:val="both"/>
        <w:rPr>
          <w:rFonts w:ascii="Arial" w:hAnsi="Arial" w:cs="Arial"/>
          <w:sz w:val="21"/>
          <w:szCs w:val="21"/>
        </w:rPr>
      </w:pPr>
      <w:r>
        <w:rPr>
          <w:rFonts w:ascii="Arial" w:hAnsi="Arial" w:cs="Arial"/>
          <w:sz w:val="21"/>
          <w:szCs w:val="21"/>
        </w:rPr>
        <w:t xml:space="preserve">Il responsabile del procedimento, il titolare dell’ufficio competente ad adottare un provvedimento finale ed i titolari degli uffici competenti ad adottare atti endoprocedimentali hanno l’obbligo di astensione nel caso di conflitto di interesse, anche potenziale e in riferimento a tutte le ipotesi in cui si manifestino “gravi ragioni di convenienza”; inoltre per i medesimi soggetti è previsto un dovere di segnalazione della </w:t>
      </w:r>
      <w:r>
        <w:rPr>
          <w:rFonts w:ascii="Arial" w:hAnsi="Arial" w:cs="Arial"/>
          <w:sz w:val="21"/>
          <w:szCs w:val="21"/>
        </w:rPr>
        <w:lastRenderedPageBreak/>
        <w:t>situazione di conflitto di interesse. Si tratta di una misura di prevenzione che si realizza mediante l’astensione della partecipazione alla decisione del titolare dell’interesse, che potrebbe porsi in conflitto con l’interesse perseguito mediante l’esercizio della funzione e/o con l’interesse di cui sono portatori il destinatario del provvedimento, gli altri interessati e controinteressati.</w:t>
      </w:r>
    </w:p>
    <w:p w:rsidR="00582DE2" w:rsidRDefault="00582DE2" w:rsidP="00582DE2">
      <w:pPr>
        <w:pStyle w:val="Standard"/>
        <w:spacing w:before="100" w:after="0" w:line="240" w:lineRule="auto"/>
        <w:jc w:val="both"/>
        <w:rPr>
          <w:rFonts w:ascii="Arial" w:hAnsi="Arial" w:cs="Arial"/>
          <w:sz w:val="21"/>
          <w:szCs w:val="21"/>
        </w:rPr>
      </w:pPr>
    </w:p>
    <w:p w:rsidR="00582DE2" w:rsidRDefault="00582DE2" w:rsidP="00582DE2">
      <w:pPr>
        <w:pStyle w:val="Standard"/>
        <w:jc w:val="both"/>
        <w:rPr>
          <w:rFonts w:ascii="Arial" w:hAnsi="Arial" w:cs="Arial"/>
          <w:sz w:val="21"/>
          <w:szCs w:val="21"/>
        </w:rPr>
      </w:pPr>
      <w:r>
        <w:rPr>
          <w:rFonts w:ascii="Arial" w:hAnsi="Arial" w:cs="Arial"/>
          <w:sz w:val="21"/>
          <w:szCs w:val="21"/>
        </w:rPr>
        <w:t>I dipendenti del Comune dovranno segnalare per iscritto l’eventuale potenziale conflitto di interesse al Responsabile del servizio, il quale valuterà se la situazione realizza un conflitto idoneo a ledere l’imparzialità dell’agire amministrativo. Il Responsabile del servizio valuterà la situazione e risponderà per iscritto al dipendente, sollevandolo dall’incarico oppure motivano espressamente le ragioni che consentano comunque l’espletamento dell’attività da parte di quel dipendente.</w:t>
      </w:r>
    </w:p>
    <w:p w:rsidR="00582DE2" w:rsidRDefault="00582DE2" w:rsidP="00582DE2">
      <w:pPr>
        <w:pStyle w:val="Standard"/>
        <w:jc w:val="both"/>
        <w:rPr>
          <w:rFonts w:ascii="Arial" w:hAnsi="Arial" w:cs="Arial"/>
          <w:sz w:val="21"/>
          <w:szCs w:val="21"/>
        </w:rPr>
      </w:pPr>
      <w:r>
        <w:rPr>
          <w:rFonts w:ascii="Arial" w:hAnsi="Arial" w:cs="Arial"/>
          <w:sz w:val="21"/>
          <w:szCs w:val="21"/>
        </w:rPr>
        <w:t>Nel caso in cui sia necessario sollevare il dipendente dall’incarico esso dovrà essere affidato ad altro dipendente, ovvero, in carenza di dipendenti professionalmente idonei, il Responsabile del servizio dovrà evocare a sé ogni compito relativo al procedimento.</w:t>
      </w:r>
    </w:p>
    <w:p w:rsidR="00582DE2" w:rsidRDefault="00582DE2" w:rsidP="00582DE2">
      <w:pPr>
        <w:pStyle w:val="Standard"/>
        <w:jc w:val="both"/>
        <w:rPr>
          <w:rFonts w:ascii="Arial" w:hAnsi="Arial" w:cs="Arial"/>
          <w:color w:val="FF0000"/>
          <w:sz w:val="21"/>
          <w:szCs w:val="21"/>
        </w:rPr>
      </w:pPr>
    </w:p>
    <w:p w:rsidR="00582DE2" w:rsidRDefault="00582DE2" w:rsidP="00080553">
      <w:pPr>
        <w:pStyle w:val="Titolo2"/>
        <w:jc w:val="left"/>
        <w:rPr>
          <w:sz w:val="21"/>
          <w:szCs w:val="21"/>
        </w:rPr>
      </w:pPr>
      <w:r>
        <w:rPr>
          <w:sz w:val="21"/>
          <w:szCs w:val="21"/>
        </w:rPr>
        <w:t>8.13. INCONFERIBILITA’ ED INCOMPATIBILITA’</w:t>
      </w:r>
    </w:p>
    <w:p w:rsidR="00F25CF4" w:rsidRPr="00F25CF4" w:rsidRDefault="00F25CF4" w:rsidP="00F25CF4"/>
    <w:p w:rsidR="00582DE2" w:rsidRPr="00F25CF4" w:rsidRDefault="00582DE2" w:rsidP="00F25CF4">
      <w:pPr>
        <w:pStyle w:val="Titolo2"/>
        <w:jc w:val="both"/>
        <w:rPr>
          <w:rFonts w:ascii="Arial" w:hAnsi="Arial" w:cs="Arial"/>
          <w:b w:val="0"/>
          <w:sz w:val="21"/>
          <w:szCs w:val="21"/>
        </w:rPr>
      </w:pPr>
      <w:r w:rsidRPr="00F25CF4">
        <w:rPr>
          <w:rFonts w:ascii="Arial" w:hAnsi="Arial" w:cs="Arial"/>
          <w:b w:val="0"/>
          <w:sz w:val="21"/>
          <w:szCs w:val="21"/>
        </w:rPr>
        <w:t>La disciplina delle ipotesi di inconferibilità ed incompatibilità degli incarichi nella Pubbliche Amministrazioni di cui al D.lg. n. 39/2013 è volta a garantire l'esercizio imparziale degli incarichi amministrativi mediante la sottrazione del titolare dell'incarico ai comportamenti che possono provenire da interessi privati o da interessi pubblici. In particolare, il Comune di Telve</w:t>
      </w:r>
      <w:r w:rsidR="00AE18B4" w:rsidRPr="00F25CF4">
        <w:rPr>
          <w:rFonts w:ascii="Arial" w:hAnsi="Arial" w:cs="Arial"/>
          <w:b w:val="0"/>
          <w:sz w:val="21"/>
          <w:szCs w:val="21"/>
        </w:rPr>
        <w:t xml:space="preserve"> di Sopra</w:t>
      </w:r>
      <w:r w:rsidRPr="00F25CF4">
        <w:rPr>
          <w:rFonts w:ascii="Arial" w:hAnsi="Arial" w:cs="Arial"/>
          <w:b w:val="0"/>
          <w:sz w:val="21"/>
          <w:szCs w:val="21"/>
        </w:rPr>
        <w:t xml:space="preserve"> attraverso la disciplina di inconferibilità, vuole evitare che alcuni incarichi, di cura di interessi pubblici, non possano essere attribuiti a coloro che provengano da situazioni che la legge considera come in grado di comportare delle indebite pressioni sull'esercizio imparziale delle funzioni; mentre, attraverso la disciplina dell'incompatibilità vuole impedire la cura contestuale di interessi pubblici e di interessi privati con essi in conflitto.</w:t>
      </w:r>
    </w:p>
    <w:p w:rsidR="00582DE2" w:rsidRDefault="00582DE2" w:rsidP="00582DE2">
      <w:pPr>
        <w:pStyle w:val="Standard"/>
        <w:jc w:val="both"/>
        <w:rPr>
          <w:rFonts w:ascii="Arial" w:hAnsi="Arial" w:cs="Arial"/>
          <w:sz w:val="21"/>
          <w:szCs w:val="21"/>
        </w:rPr>
      </w:pPr>
      <w:r>
        <w:rPr>
          <w:rFonts w:ascii="Arial" w:hAnsi="Arial" w:cs="Arial"/>
          <w:sz w:val="21"/>
          <w:szCs w:val="21"/>
        </w:rPr>
        <w:t>Il Responsabile di Prevenzione della Corruzione e della Trasparenza (RPCT) accerta che nel Comune di Telve</w:t>
      </w:r>
      <w:r w:rsidR="00AE18B4">
        <w:rPr>
          <w:rFonts w:ascii="Arial" w:hAnsi="Arial" w:cs="Arial"/>
          <w:sz w:val="21"/>
          <w:szCs w:val="21"/>
        </w:rPr>
        <w:t xml:space="preserve"> di Sopra</w:t>
      </w:r>
      <w:r>
        <w:rPr>
          <w:rFonts w:ascii="Arial" w:hAnsi="Arial" w:cs="Arial"/>
          <w:sz w:val="21"/>
          <w:szCs w:val="21"/>
        </w:rPr>
        <w:t xml:space="preserve"> siano rispettate le disposizioni del D.lg. n. 39/2013 in materia di inconferibilità e incompatibilità degli incarichi. A tal fine il RPCT contesta all'interessato l'esistenza o l'insorgere delle situazioni di inconferibilità o incompatibilità di cui al citato decreto.</w:t>
      </w:r>
    </w:p>
    <w:p w:rsidR="00582DE2" w:rsidRDefault="00582DE2" w:rsidP="00582DE2">
      <w:pPr>
        <w:pStyle w:val="Standard"/>
        <w:jc w:val="both"/>
        <w:rPr>
          <w:rFonts w:ascii="Arial" w:hAnsi="Arial" w:cs="Arial"/>
          <w:sz w:val="21"/>
          <w:szCs w:val="21"/>
        </w:rPr>
      </w:pPr>
      <w:r>
        <w:rPr>
          <w:rFonts w:ascii="Arial" w:hAnsi="Arial" w:cs="Arial"/>
          <w:sz w:val="21"/>
          <w:szCs w:val="21"/>
        </w:rPr>
        <w:t>I soggetti cui devono essere conferiti gli incarichi, contestualmente all'atto di nomina, devono presentare una dichiarazione sulla insussistenza di una delle cause di inconferibilità o incompatibilità individuate nel D.Lg. n. 39/2013.</w:t>
      </w:r>
    </w:p>
    <w:p w:rsidR="00582DE2" w:rsidRDefault="00582DE2" w:rsidP="00582DE2">
      <w:pPr>
        <w:pStyle w:val="Standard"/>
        <w:jc w:val="both"/>
        <w:rPr>
          <w:rFonts w:ascii="Arial" w:hAnsi="Arial" w:cs="Arial"/>
          <w:sz w:val="21"/>
          <w:szCs w:val="21"/>
        </w:rPr>
      </w:pPr>
      <w:r>
        <w:rPr>
          <w:rFonts w:ascii="Arial" w:hAnsi="Arial" w:cs="Arial"/>
          <w:sz w:val="21"/>
          <w:szCs w:val="21"/>
        </w:rPr>
        <w:t>Il RPCT deve accertare l'ipotesi di insussistenza delle cause di inconferibilità o incompatibilità che precludono il conferimento dell'incarico, previa attività di verifica sulla completezza e veridicità della dichiarazione in ordine al contenuto e alla sottoscrizione della stessa nei modi previsti dalla legge.</w:t>
      </w:r>
    </w:p>
    <w:p w:rsidR="00582DE2" w:rsidRDefault="00582DE2" w:rsidP="00582DE2">
      <w:pPr>
        <w:pStyle w:val="Standard"/>
        <w:jc w:val="both"/>
        <w:rPr>
          <w:rFonts w:ascii="Arial" w:hAnsi="Arial" w:cs="Arial"/>
          <w:sz w:val="21"/>
          <w:szCs w:val="21"/>
        </w:rPr>
      </w:pPr>
    </w:p>
    <w:p w:rsidR="00582DE2" w:rsidRDefault="00582DE2" w:rsidP="00080553">
      <w:pPr>
        <w:pStyle w:val="Titolo2"/>
        <w:jc w:val="left"/>
        <w:rPr>
          <w:iCs/>
          <w:sz w:val="21"/>
          <w:szCs w:val="21"/>
        </w:rPr>
      </w:pPr>
      <w:r>
        <w:rPr>
          <w:sz w:val="21"/>
          <w:szCs w:val="21"/>
        </w:rPr>
        <w:t xml:space="preserve">8.14. IL </w:t>
      </w:r>
      <w:r>
        <w:rPr>
          <w:iCs/>
          <w:sz w:val="21"/>
          <w:szCs w:val="21"/>
        </w:rPr>
        <w:t>PANTOUFLAGE</w:t>
      </w:r>
    </w:p>
    <w:p w:rsidR="009C5FEC" w:rsidRPr="009C5FEC" w:rsidRDefault="009C5FEC" w:rsidP="009C5FEC"/>
    <w:p w:rsidR="00582DE2" w:rsidRDefault="00582DE2" w:rsidP="00582DE2">
      <w:pPr>
        <w:pStyle w:val="Standard"/>
        <w:jc w:val="both"/>
      </w:pPr>
      <w:r>
        <w:rPr>
          <w:rFonts w:ascii="Arial" w:hAnsi="Arial" w:cs="Arial"/>
          <w:sz w:val="21"/>
          <w:szCs w:val="21"/>
        </w:rPr>
        <w:t xml:space="preserve">Il </w:t>
      </w:r>
      <w:r>
        <w:rPr>
          <w:rFonts w:ascii="Arial" w:hAnsi="Arial" w:cs="Arial"/>
          <w:i/>
          <w:iCs/>
          <w:sz w:val="21"/>
          <w:szCs w:val="21"/>
        </w:rPr>
        <w:t xml:space="preserve">pantouflage, </w:t>
      </w:r>
      <w:r>
        <w:rPr>
          <w:rFonts w:ascii="Arial" w:hAnsi="Arial" w:cs="Arial"/>
          <w:sz w:val="21"/>
          <w:szCs w:val="21"/>
        </w:rPr>
        <w:t>è stato introdotto</w:t>
      </w:r>
      <w:r>
        <w:rPr>
          <w:rFonts w:ascii="Arial" w:hAnsi="Arial" w:cs="Arial"/>
          <w:i/>
          <w:iCs/>
          <w:sz w:val="21"/>
          <w:szCs w:val="21"/>
        </w:rPr>
        <w:t xml:space="preserve"> </w:t>
      </w:r>
      <w:r>
        <w:rPr>
          <w:rFonts w:ascii="Arial" w:hAnsi="Arial" w:cs="Arial"/>
          <w:sz w:val="21"/>
          <w:szCs w:val="21"/>
        </w:rPr>
        <w:t>nel nostro ordinamento dalla L. 190/2012 tramite l’inserimento all’art. 53 del d.lgs. 165/2001 del co. 16-</w:t>
      </w:r>
      <w:r>
        <w:rPr>
          <w:rFonts w:ascii="Arial" w:hAnsi="Arial" w:cs="Arial"/>
          <w:i/>
          <w:iCs/>
          <w:sz w:val="21"/>
          <w:szCs w:val="21"/>
        </w:rPr>
        <w:t xml:space="preserve">ter, </w:t>
      </w:r>
      <w:r>
        <w:rPr>
          <w:rFonts w:ascii="Arial" w:hAnsi="Arial" w:cs="Arial"/>
          <w:sz w:val="21"/>
          <w:szCs w:val="21"/>
        </w:rPr>
        <w:t xml:space="preserve">il quale prevede il divieto per i dipendenti che, negli ultimi tre anni di servizio, abbiano esercitato poteri autoritativi o negoziali per conto delle pubbliche amministrazioni, di svolgere nei tre anni successivi alla cessazione del rapporto di lavoro, attività lavorativa o professionale presso i soggetti privati destinatari dell’attività dell’amministrazione svolta attraverso i medesimi poteri. </w:t>
      </w:r>
    </w:p>
    <w:p w:rsidR="00582DE2" w:rsidRDefault="00582DE2" w:rsidP="00582DE2">
      <w:pPr>
        <w:pStyle w:val="Standard"/>
        <w:jc w:val="both"/>
        <w:rPr>
          <w:rFonts w:ascii="Arial" w:hAnsi="Arial" w:cs="Arial"/>
          <w:sz w:val="21"/>
          <w:szCs w:val="21"/>
        </w:rPr>
      </w:pPr>
      <w:r>
        <w:rPr>
          <w:rFonts w:ascii="Arial" w:hAnsi="Arial" w:cs="Arial"/>
          <w:sz w:val="21"/>
          <w:szCs w:val="21"/>
        </w:rPr>
        <w:t xml:space="preserve">La finalità della norma è quindi duplice: da una parte disincentivare i dipendenti dal precostituirsi situazioni lavorative vantaggiose presso il soggetto privato con cui entrano in contatto durante il periodo di servizio, </w:t>
      </w:r>
      <w:r>
        <w:rPr>
          <w:rFonts w:ascii="Arial" w:hAnsi="Arial" w:cs="Arial"/>
          <w:sz w:val="21"/>
          <w:szCs w:val="21"/>
        </w:rPr>
        <w:lastRenderedPageBreak/>
        <w:t>dall’altra ridurre il rischio che soggetti privati possano esercitare pressioni o condizionamenti nello svolgimento dei compiti istituzionali, con la prospettiva per il dipendente di un’amministrazione di un’opportunità di assunzione o incarico una volta cessato il servizio.</w:t>
      </w:r>
    </w:p>
    <w:p w:rsidR="00582DE2" w:rsidRDefault="00582DE2" w:rsidP="00582DE2">
      <w:pPr>
        <w:pStyle w:val="Standard"/>
        <w:jc w:val="both"/>
      </w:pPr>
      <w:r>
        <w:rPr>
          <w:rFonts w:ascii="Arial" w:hAnsi="Arial" w:cs="Arial"/>
          <w:sz w:val="21"/>
          <w:szCs w:val="21"/>
        </w:rPr>
        <w:t xml:space="preserve">ANAC ha inoltre precisato che il divieto vada applicato non solo ai dipendenti a tempo indeterminato, ma si estenda anche ai soggetti legati alla pubblica amministrazione da un rapporto di lavoro a tempo determinato o autonomo. Infatti la non estensione del divieto anche a questi ultimi sarebbe in contrasto con la </w:t>
      </w:r>
      <w:r>
        <w:rPr>
          <w:rFonts w:ascii="Arial" w:hAnsi="Arial" w:cs="Arial"/>
          <w:i/>
          <w:iCs/>
          <w:sz w:val="21"/>
          <w:szCs w:val="21"/>
        </w:rPr>
        <w:t>ratio</w:t>
      </w:r>
      <w:r>
        <w:rPr>
          <w:rFonts w:ascii="Arial" w:hAnsi="Arial" w:cs="Arial"/>
          <w:sz w:val="21"/>
          <w:szCs w:val="21"/>
        </w:rPr>
        <w:t xml:space="preserve"> della norma, volta a evitare condizionamenti nell’esercizio di funzioni pubbliche.</w:t>
      </w:r>
    </w:p>
    <w:p w:rsidR="00582DE2" w:rsidRDefault="00582DE2" w:rsidP="00582DE2">
      <w:pPr>
        <w:pStyle w:val="Standard"/>
        <w:jc w:val="both"/>
      </w:pPr>
      <w:r>
        <w:rPr>
          <w:rFonts w:ascii="Arial" w:hAnsi="Arial" w:cs="Arial"/>
          <w:sz w:val="21"/>
          <w:szCs w:val="21"/>
        </w:rPr>
        <w:t xml:space="preserve">Sarà  predisposta una dichiarazione da sottoscrivere al momento di cessazione del servizio o dell’incarico, con cui il dipendente si impegna al rispetto del divieto di </w:t>
      </w:r>
      <w:r>
        <w:rPr>
          <w:rFonts w:ascii="Arial" w:hAnsi="Arial" w:cs="Arial"/>
          <w:i/>
          <w:iCs/>
          <w:sz w:val="21"/>
          <w:szCs w:val="21"/>
        </w:rPr>
        <w:t xml:space="preserve">pantouflage, </w:t>
      </w:r>
      <w:r>
        <w:rPr>
          <w:rFonts w:ascii="Arial" w:hAnsi="Arial" w:cs="Arial"/>
          <w:sz w:val="21"/>
          <w:szCs w:val="21"/>
        </w:rPr>
        <w:t>allo scopo di evitare eventuali contestazioni in ordine alla conoscibilità della norma. Inoltre nei bandi di gara e negli atti prodromici all’affidamento di contratti pubblici dell’obbligo per l’operatore economico concorrente di dichiarare di non avere stipulato contratti di lavoro o comunque attribuito incarichi a ex dipendenti pubblici in violazione del predetto divieto.</w:t>
      </w:r>
    </w:p>
    <w:p w:rsidR="00582DE2" w:rsidRDefault="00582DE2" w:rsidP="00582DE2">
      <w:pPr>
        <w:pStyle w:val="Standard"/>
        <w:jc w:val="both"/>
      </w:pPr>
      <w:r>
        <w:rPr>
          <w:rFonts w:ascii="Arial" w:hAnsi="Arial" w:cs="Arial"/>
          <w:sz w:val="21"/>
          <w:szCs w:val="21"/>
        </w:rPr>
        <w:t>Nel corso dell’ann</w:t>
      </w:r>
      <w:r w:rsidR="008720C6">
        <w:rPr>
          <w:rFonts w:ascii="Arial" w:hAnsi="Arial" w:cs="Arial"/>
          <w:sz w:val="21"/>
          <w:szCs w:val="21"/>
        </w:rPr>
        <w:t>o 2022</w:t>
      </w:r>
      <w:r>
        <w:rPr>
          <w:rFonts w:ascii="Arial" w:hAnsi="Arial" w:cs="Arial"/>
          <w:sz w:val="21"/>
          <w:szCs w:val="21"/>
        </w:rPr>
        <w:t xml:space="preserve">, si propone di adottare una definizione di una compiuta disciplina del divieto di </w:t>
      </w:r>
      <w:r>
        <w:rPr>
          <w:rFonts w:ascii="Arial" w:hAnsi="Arial" w:cs="Arial"/>
          <w:i/>
          <w:iCs/>
          <w:sz w:val="21"/>
          <w:szCs w:val="21"/>
        </w:rPr>
        <w:t xml:space="preserve">pantouflage, </w:t>
      </w:r>
      <w:r>
        <w:rPr>
          <w:rFonts w:ascii="Arial" w:hAnsi="Arial" w:cs="Arial"/>
          <w:sz w:val="21"/>
          <w:szCs w:val="21"/>
        </w:rPr>
        <w:t>eventualmente in sede di revisione o di nuova adozione del codice di comportamento, al fine di prevenire tale comportamento</w:t>
      </w:r>
      <w:bookmarkStart w:id="26" w:name="__RefHeading___Toc1988_761212699"/>
      <w:r>
        <w:rPr>
          <w:rFonts w:ascii="Arial" w:hAnsi="Arial" w:cs="Arial"/>
          <w:sz w:val="21"/>
          <w:szCs w:val="21"/>
        </w:rPr>
        <w:t>.</w:t>
      </w:r>
    </w:p>
    <w:p w:rsidR="00582DE2" w:rsidRPr="00941CC6" w:rsidRDefault="00582DE2" w:rsidP="00941CC6">
      <w:pPr>
        <w:pStyle w:val="Titolo2"/>
        <w:jc w:val="left"/>
        <w:rPr>
          <w:sz w:val="21"/>
          <w:szCs w:val="21"/>
        </w:rPr>
      </w:pPr>
    </w:p>
    <w:p w:rsidR="00F25CF4" w:rsidRDefault="00582DE2" w:rsidP="00F25CF4">
      <w:pPr>
        <w:autoSpaceDE w:val="0"/>
        <w:jc w:val="both"/>
        <w:rPr>
          <w:rFonts w:ascii="Arial" w:hAnsi="Arial" w:cs="Arial"/>
          <w:b/>
          <w:iCs/>
          <w:color w:val="000000"/>
          <w:sz w:val="21"/>
          <w:szCs w:val="21"/>
        </w:rPr>
      </w:pPr>
      <w:r w:rsidRPr="006D244C">
        <w:rPr>
          <w:rFonts w:ascii="Arial" w:hAnsi="Arial" w:cs="Arial"/>
          <w:b/>
          <w:iCs/>
          <w:color w:val="000000"/>
          <w:sz w:val="21"/>
          <w:szCs w:val="21"/>
        </w:rPr>
        <w:t xml:space="preserve">9. MONITORAGGIO </w:t>
      </w:r>
      <w:bookmarkEnd w:id="26"/>
      <w:r w:rsidRPr="006D244C">
        <w:rPr>
          <w:rFonts w:ascii="Arial" w:hAnsi="Arial" w:cs="Arial"/>
          <w:b/>
          <w:iCs/>
          <w:color w:val="000000"/>
          <w:sz w:val="21"/>
          <w:szCs w:val="21"/>
        </w:rPr>
        <w:t>E AGGIORNAMENTO DEL PIANO</w:t>
      </w:r>
      <w:bookmarkStart w:id="27" w:name="__RefHeading___Toc1990_761212699"/>
    </w:p>
    <w:p w:rsidR="00F25CF4" w:rsidRDefault="00F25CF4" w:rsidP="00F25CF4">
      <w:pPr>
        <w:autoSpaceDE w:val="0"/>
        <w:jc w:val="both"/>
        <w:rPr>
          <w:rFonts w:ascii="Arial" w:hAnsi="Arial" w:cs="Arial"/>
          <w:b/>
          <w:iCs/>
          <w:color w:val="000000"/>
          <w:sz w:val="21"/>
          <w:szCs w:val="21"/>
        </w:rPr>
      </w:pPr>
    </w:p>
    <w:p w:rsidR="00F25CF4" w:rsidRDefault="00582DE2" w:rsidP="00F25CF4">
      <w:pPr>
        <w:pStyle w:val="Standard"/>
        <w:jc w:val="both"/>
        <w:rPr>
          <w:rFonts w:ascii="Arial" w:hAnsi="Arial" w:cs="Arial"/>
          <w:sz w:val="21"/>
          <w:szCs w:val="21"/>
        </w:rPr>
      </w:pPr>
      <w:r w:rsidRPr="00F25CF4">
        <w:rPr>
          <w:rFonts w:ascii="Arial" w:hAnsi="Arial" w:cs="Arial"/>
          <w:sz w:val="21"/>
          <w:szCs w:val="21"/>
        </w:rPr>
        <w:t xml:space="preserve">La gestione del rischio si completa con l’azione di monitoraggio, che comporta la valutazione del livello di rischio tenendo conto delle misure di prevenzione introdotte. Questa fase è finalizzata alla verifica dell’efficacia dei sistemi di prevenzione adottati e alla successiva messa in atto di ulteriori strategie di prevenzione. Essa è attuata dagli stessi soggetti che partecipano al processo di gestione del rischio. </w:t>
      </w:r>
    </w:p>
    <w:p w:rsidR="00582DE2" w:rsidRDefault="00582DE2" w:rsidP="00F25CF4">
      <w:pPr>
        <w:pStyle w:val="Standard"/>
        <w:jc w:val="both"/>
        <w:rPr>
          <w:rFonts w:ascii="Arial" w:hAnsi="Arial" w:cs="Arial"/>
          <w:sz w:val="21"/>
          <w:szCs w:val="21"/>
        </w:rPr>
      </w:pPr>
      <w:r w:rsidRPr="00F25CF4">
        <w:rPr>
          <w:rFonts w:ascii="Arial" w:hAnsi="Arial" w:cs="Arial"/>
          <w:sz w:val="21"/>
          <w:szCs w:val="21"/>
        </w:rPr>
        <w:t xml:space="preserve">Oltre al monitoraggio del rispetto dei termini di conclusione dei procedimenti previsto al precedente paragrafo, sono previste le seguenti azioni di verifica: </w:t>
      </w:r>
    </w:p>
    <w:p w:rsidR="00316668" w:rsidRDefault="00316668" w:rsidP="00316668">
      <w:pPr>
        <w:pStyle w:val="Titolo2"/>
        <w:numPr>
          <w:ilvl w:val="0"/>
          <w:numId w:val="42"/>
        </w:numPr>
        <w:suppressAutoHyphens/>
        <w:autoSpaceDN w:val="0"/>
        <w:spacing w:before="240" w:after="60" w:line="276" w:lineRule="auto"/>
        <w:jc w:val="both"/>
        <w:textAlignment w:val="baseline"/>
        <w:rPr>
          <w:rFonts w:ascii="Arial" w:hAnsi="Arial" w:cs="Arial"/>
          <w:b w:val="0"/>
          <w:i/>
          <w:sz w:val="21"/>
          <w:szCs w:val="21"/>
        </w:rPr>
      </w:pPr>
      <w:r>
        <w:rPr>
          <w:rFonts w:ascii="Arial" w:hAnsi="Arial" w:cs="Arial"/>
          <w:b w:val="0"/>
          <w:sz w:val="21"/>
          <w:szCs w:val="21"/>
        </w:rPr>
        <w:t>ciascun Responsabile dei Servizi deve informare tempestivamente il Responsabile PCT, in merito al mancato rispetto dei tempi previsti dai procedimenti e a qualsiasi altra anomalia accertata in ordine alla mancata attuazione del presente piano, adottando le azioni necessarie per eliminarle oppure proponendo al Responsabile della prevenzione della corruzione, le azioni sopra citate qualora non dovessero rientrare nella propria competenza;</w:t>
      </w:r>
    </w:p>
    <w:p w:rsidR="00582DE2" w:rsidRDefault="00582DE2" w:rsidP="00582DE2">
      <w:pPr>
        <w:pStyle w:val="Titolo2"/>
        <w:numPr>
          <w:ilvl w:val="0"/>
          <w:numId w:val="42"/>
        </w:numPr>
        <w:suppressAutoHyphens/>
        <w:autoSpaceDN w:val="0"/>
        <w:spacing w:before="240" w:after="60" w:line="276" w:lineRule="auto"/>
        <w:jc w:val="both"/>
        <w:textAlignment w:val="baseline"/>
        <w:rPr>
          <w:rFonts w:ascii="Arial" w:hAnsi="Arial" w:cs="Arial"/>
          <w:b w:val="0"/>
          <w:i/>
          <w:sz w:val="21"/>
          <w:szCs w:val="21"/>
        </w:rPr>
      </w:pPr>
      <w:r>
        <w:rPr>
          <w:rFonts w:ascii="Arial" w:hAnsi="Arial" w:cs="Arial"/>
          <w:b w:val="0"/>
          <w:sz w:val="21"/>
          <w:szCs w:val="21"/>
        </w:rPr>
        <w:t>il Responsabile PCT, con cadenza annuale, è tenuto a consultare i Responsabili dei Servizi in ordine alla effettiva attuazione delle misure previste dal presente piano al fine di rilevare eventuali criticità sulla idoneità e attuabilità delle misure previste.</w:t>
      </w:r>
    </w:p>
    <w:p w:rsidR="00582DE2" w:rsidRDefault="00582DE2" w:rsidP="00582DE2">
      <w:pPr>
        <w:pStyle w:val="Standard"/>
        <w:jc w:val="both"/>
        <w:rPr>
          <w:rFonts w:ascii="Arial" w:hAnsi="Arial" w:cs="Arial"/>
          <w:sz w:val="21"/>
          <w:szCs w:val="21"/>
        </w:rPr>
      </w:pPr>
      <w:r>
        <w:rPr>
          <w:rFonts w:ascii="Arial" w:hAnsi="Arial" w:cs="Arial"/>
          <w:sz w:val="21"/>
          <w:szCs w:val="21"/>
        </w:rPr>
        <w:t>Il monitoraggio sull’attuazione delle azioni indicate nel presente Piano avviene con cadenza annuale. Il monitoraggio può avvenire anche in corso d’anno, in relazione ad eventuali circostanze sopravvenute ritenute rilevanti dal Responsabile per la prevenzione della corruzione e per la trasparenza.</w:t>
      </w:r>
    </w:p>
    <w:p w:rsidR="00582DE2" w:rsidRDefault="00582DE2" w:rsidP="00582DE2">
      <w:pPr>
        <w:pStyle w:val="P"/>
        <w:spacing w:before="100" w:after="0" w:line="240" w:lineRule="auto"/>
        <w:rPr>
          <w:rFonts w:ascii="Arial" w:hAnsi="Arial" w:cs="Arial"/>
          <w:sz w:val="21"/>
          <w:szCs w:val="21"/>
        </w:rPr>
      </w:pPr>
      <w:bookmarkStart w:id="28" w:name="__RefHeading___Toc1992_761212699"/>
      <w:bookmarkEnd w:id="27"/>
      <w:r>
        <w:rPr>
          <w:rFonts w:ascii="Arial" w:hAnsi="Arial" w:cs="Arial"/>
          <w:sz w:val="21"/>
          <w:szCs w:val="21"/>
        </w:rPr>
        <w:t>Fermo restando il necessario adeguamento e allineamento del presente documento al Piano Nazionale Anticorruzione, esso rientra tra i piani e i programmi Gestionali. Le modalità di aggiornamento saranno pertanto analoghe a quelle previste per l’aggiornamento di tali piani e programmi, e darà atto del grado di raggiungimento degli obiettivi dichiarati secondo gli indicatori ivi previsti.</w:t>
      </w:r>
    </w:p>
    <w:p w:rsidR="00582DE2" w:rsidRDefault="00582DE2" w:rsidP="00582DE2">
      <w:pPr>
        <w:pStyle w:val="P"/>
        <w:spacing w:before="100" w:after="0" w:line="240" w:lineRule="auto"/>
        <w:rPr>
          <w:rFonts w:ascii="Arial" w:hAnsi="Arial" w:cs="Arial"/>
          <w:sz w:val="21"/>
          <w:szCs w:val="21"/>
        </w:rPr>
      </w:pPr>
      <w:r>
        <w:rPr>
          <w:rFonts w:ascii="Arial" w:hAnsi="Arial" w:cs="Arial"/>
          <w:sz w:val="21"/>
          <w:szCs w:val="21"/>
        </w:rPr>
        <w:t xml:space="preserve">I contenuti del Piano, così come le priorità d’intervento e la mappatura e pesatura dei rischi per l’integrità, saranno oggetto di aggiornamento annuale, o se necessario, in corso d’anno, anche in relazione ad eventuali adeguamenti a disposizioni normative e/o a riorganizzazione di processi e/o funzioni. L’aggiornamento del Piano ha ad oggetto i contenuti di seguito indicati: </w:t>
      </w:r>
    </w:p>
    <w:p w:rsidR="00582DE2" w:rsidRDefault="00582DE2" w:rsidP="00582DE2">
      <w:pPr>
        <w:pStyle w:val="P"/>
        <w:numPr>
          <w:ilvl w:val="0"/>
          <w:numId w:val="43"/>
        </w:numPr>
        <w:spacing w:before="100" w:after="0" w:line="240" w:lineRule="auto"/>
        <w:rPr>
          <w:rFonts w:ascii="Arial" w:hAnsi="Arial" w:cs="Arial"/>
          <w:sz w:val="21"/>
          <w:szCs w:val="21"/>
        </w:rPr>
      </w:pPr>
      <w:r>
        <w:rPr>
          <w:rFonts w:ascii="Arial" w:hAnsi="Arial" w:cs="Arial"/>
          <w:sz w:val="21"/>
          <w:szCs w:val="21"/>
        </w:rPr>
        <w:lastRenderedPageBreak/>
        <w:t>individuazione dei processi a rischio;</w:t>
      </w:r>
    </w:p>
    <w:p w:rsidR="00582DE2" w:rsidRDefault="00582DE2" w:rsidP="00582DE2">
      <w:pPr>
        <w:pStyle w:val="P"/>
        <w:numPr>
          <w:ilvl w:val="0"/>
          <w:numId w:val="43"/>
        </w:numPr>
        <w:spacing w:before="100" w:after="0" w:line="240" w:lineRule="auto"/>
        <w:rPr>
          <w:rFonts w:ascii="Arial" w:hAnsi="Arial" w:cs="Arial"/>
          <w:sz w:val="21"/>
          <w:szCs w:val="21"/>
        </w:rPr>
      </w:pPr>
      <w:r>
        <w:rPr>
          <w:rFonts w:ascii="Arial" w:hAnsi="Arial" w:cs="Arial"/>
          <w:sz w:val="21"/>
          <w:szCs w:val="21"/>
        </w:rPr>
        <w:t xml:space="preserve">individuazione, per ciascun processo, dei possibili rischi; </w:t>
      </w:r>
    </w:p>
    <w:p w:rsidR="00582DE2" w:rsidRDefault="00582DE2" w:rsidP="00582DE2">
      <w:pPr>
        <w:pStyle w:val="P"/>
        <w:numPr>
          <w:ilvl w:val="0"/>
          <w:numId w:val="43"/>
        </w:numPr>
        <w:spacing w:before="100" w:after="0" w:line="240" w:lineRule="auto"/>
        <w:rPr>
          <w:rFonts w:ascii="Arial" w:hAnsi="Arial" w:cs="Arial"/>
          <w:sz w:val="21"/>
          <w:szCs w:val="21"/>
        </w:rPr>
      </w:pPr>
      <w:r>
        <w:rPr>
          <w:rFonts w:ascii="Arial" w:hAnsi="Arial" w:cs="Arial"/>
          <w:sz w:val="21"/>
          <w:szCs w:val="21"/>
        </w:rPr>
        <w:t xml:space="preserve">individuazione, per ciascun processo, delle azioni di prevenzione; </w:t>
      </w:r>
    </w:p>
    <w:p w:rsidR="00582DE2" w:rsidRDefault="00582DE2" w:rsidP="00582DE2">
      <w:pPr>
        <w:pStyle w:val="P"/>
        <w:numPr>
          <w:ilvl w:val="0"/>
          <w:numId w:val="43"/>
        </w:numPr>
        <w:spacing w:before="100" w:after="0" w:line="240" w:lineRule="auto"/>
        <w:rPr>
          <w:rFonts w:ascii="Arial" w:hAnsi="Arial" w:cs="Arial"/>
          <w:sz w:val="21"/>
          <w:szCs w:val="21"/>
        </w:rPr>
      </w:pPr>
      <w:r>
        <w:rPr>
          <w:rFonts w:ascii="Arial" w:hAnsi="Arial" w:cs="Arial"/>
          <w:sz w:val="21"/>
          <w:szCs w:val="21"/>
        </w:rPr>
        <w:t>ogni altro contenuto individuato dal Responsabile per la prevenzione della corruzione.</w:t>
      </w:r>
    </w:p>
    <w:p w:rsidR="00582DE2" w:rsidRDefault="00582DE2" w:rsidP="00582DE2">
      <w:pPr>
        <w:pStyle w:val="P"/>
        <w:spacing w:before="100" w:after="0" w:line="240" w:lineRule="auto"/>
        <w:rPr>
          <w:rFonts w:ascii="Arial" w:hAnsi="Arial" w:cs="Arial"/>
          <w:sz w:val="21"/>
          <w:szCs w:val="21"/>
        </w:rPr>
      </w:pPr>
      <w:bookmarkStart w:id="29" w:name="__RefHeading___Toc1994_761212699"/>
      <w:bookmarkEnd w:id="28"/>
    </w:p>
    <w:p w:rsidR="00582DE2" w:rsidRDefault="00582DE2" w:rsidP="00582DE2">
      <w:pPr>
        <w:pStyle w:val="P"/>
        <w:spacing w:before="100" w:after="0" w:line="240" w:lineRule="auto"/>
        <w:rPr>
          <w:rFonts w:ascii="Arial" w:hAnsi="Arial" w:cs="Arial"/>
          <w:sz w:val="21"/>
          <w:szCs w:val="21"/>
        </w:rPr>
      </w:pPr>
    </w:p>
    <w:bookmarkEnd w:id="29"/>
    <w:p w:rsidR="00582DE2" w:rsidRDefault="00582DE2" w:rsidP="00582DE2">
      <w:pPr>
        <w:pStyle w:val="Titolo1"/>
        <w:rPr>
          <w:szCs w:val="22"/>
        </w:rPr>
      </w:pPr>
      <w:r>
        <w:rPr>
          <w:szCs w:val="22"/>
        </w:rPr>
        <w:t>ALLEGATI</w:t>
      </w:r>
    </w:p>
    <w:p w:rsidR="00582DE2" w:rsidRDefault="00582DE2" w:rsidP="00582DE2">
      <w:pPr>
        <w:pStyle w:val="P"/>
        <w:numPr>
          <w:ilvl w:val="0"/>
          <w:numId w:val="44"/>
        </w:numPr>
        <w:spacing w:before="100" w:after="0" w:line="240" w:lineRule="auto"/>
        <w:rPr>
          <w:rFonts w:ascii="Arial" w:hAnsi="Arial" w:cs="Arial"/>
          <w:sz w:val="21"/>
          <w:szCs w:val="21"/>
        </w:rPr>
      </w:pPr>
      <w:r>
        <w:rPr>
          <w:rFonts w:ascii="Arial" w:hAnsi="Arial" w:cs="Arial"/>
          <w:sz w:val="21"/>
          <w:szCs w:val="21"/>
        </w:rPr>
        <w:t>allegato A - Organigramma funzionale del Comune di Telve</w:t>
      </w:r>
      <w:r w:rsidR="00AE18B4">
        <w:rPr>
          <w:rFonts w:ascii="Arial" w:hAnsi="Arial" w:cs="Arial"/>
          <w:sz w:val="21"/>
          <w:szCs w:val="21"/>
        </w:rPr>
        <w:t xml:space="preserve"> di Sopra</w:t>
      </w:r>
      <w:r>
        <w:rPr>
          <w:rFonts w:ascii="Arial" w:hAnsi="Arial" w:cs="Arial"/>
          <w:sz w:val="21"/>
          <w:szCs w:val="21"/>
        </w:rPr>
        <w:t>;</w:t>
      </w:r>
    </w:p>
    <w:p w:rsidR="00582DE2" w:rsidRDefault="00582DE2" w:rsidP="00582DE2">
      <w:pPr>
        <w:pStyle w:val="P"/>
        <w:numPr>
          <w:ilvl w:val="0"/>
          <w:numId w:val="44"/>
        </w:numPr>
        <w:spacing w:before="100" w:after="0" w:line="240" w:lineRule="auto"/>
        <w:rPr>
          <w:rFonts w:ascii="Arial" w:hAnsi="Arial" w:cs="Arial"/>
          <w:sz w:val="21"/>
          <w:szCs w:val="21"/>
        </w:rPr>
      </w:pPr>
      <w:r>
        <w:rPr>
          <w:rFonts w:ascii="Arial" w:hAnsi="Arial" w:cs="Arial"/>
          <w:sz w:val="21"/>
          <w:szCs w:val="21"/>
        </w:rPr>
        <w:t xml:space="preserve">allegato </w:t>
      </w:r>
      <w:r w:rsidR="00941CC6">
        <w:rPr>
          <w:rFonts w:ascii="Arial" w:hAnsi="Arial" w:cs="Arial"/>
          <w:sz w:val="21"/>
          <w:szCs w:val="21"/>
        </w:rPr>
        <w:t>B</w:t>
      </w:r>
      <w:r>
        <w:rPr>
          <w:rFonts w:ascii="Arial" w:hAnsi="Arial" w:cs="Arial"/>
          <w:sz w:val="21"/>
          <w:szCs w:val="21"/>
        </w:rPr>
        <w:t xml:space="preserve"> – Aree di rischio e processi;</w:t>
      </w:r>
    </w:p>
    <w:p w:rsidR="00582DE2" w:rsidRDefault="00582DE2" w:rsidP="00582DE2">
      <w:pPr>
        <w:pStyle w:val="P"/>
        <w:numPr>
          <w:ilvl w:val="0"/>
          <w:numId w:val="44"/>
        </w:numPr>
        <w:spacing w:before="100" w:after="0" w:line="240" w:lineRule="auto"/>
        <w:rPr>
          <w:rFonts w:ascii="Arial" w:hAnsi="Arial" w:cs="Arial"/>
          <w:sz w:val="21"/>
          <w:szCs w:val="21"/>
        </w:rPr>
      </w:pPr>
      <w:r>
        <w:rPr>
          <w:rFonts w:ascii="Arial" w:hAnsi="Arial" w:cs="Arial"/>
          <w:sz w:val="21"/>
          <w:szCs w:val="21"/>
        </w:rPr>
        <w:t xml:space="preserve">allegato </w:t>
      </w:r>
      <w:r w:rsidR="00941CC6">
        <w:rPr>
          <w:rFonts w:ascii="Arial" w:hAnsi="Arial" w:cs="Arial"/>
          <w:sz w:val="21"/>
          <w:szCs w:val="21"/>
        </w:rPr>
        <w:t>C</w:t>
      </w:r>
      <w:r>
        <w:rPr>
          <w:rFonts w:ascii="Arial" w:hAnsi="Arial" w:cs="Arial"/>
          <w:sz w:val="21"/>
          <w:szCs w:val="21"/>
        </w:rPr>
        <w:t xml:space="preserve"> – Descrizione dei processi;</w:t>
      </w:r>
    </w:p>
    <w:p w:rsidR="00582DE2" w:rsidRDefault="00582DE2" w:rsidP="00582DE2">
      <w:pPr>
        <w:pStyle w:val="P"/>
        <w:numPr>
          <w:ilvl w:val="0"/>
          <w:numId w:val="44"/>
        </w:numPr>
        <w:spacing w:before="100" w:after="0" w:line="240" w:lineRule="auto"/>
        <w:rPr>
          <w:rFonts w:ascii="Arial" w:hAnsi="Arial" w:cs="Arial"/>
          <w:sz w:val="21"/>
          <w:szCs w:val="21"/>
        </w:rPr>
      </w:pPr>
      <w:r>
        <w:rPr>
          <w:rFonts w:ascii="Arial" w:hAnsi="Arial" w:cs="Arial"/>
          <w:sz w:val="21"/>
          <w:szCs w:val="21"/>
        </w:rPr>
        <w:t xml:space="preserve">allegato </w:t>
      </w:r>
      <w:r w:rsidR="00941CC6">
        <w:rPr>
          <w:rFonts w:ascii="Arial" w:hAnsi="Arial" w:cs="Arial"/>
          <w:sz w:val="21"/>
          <w:szCs w:val="21"/>
        </w:rPr>
        <w:t>D</w:t>
      </w:r>
      <w:r>
        <w:rPr>
          <w:rFonts w:ascii="Arial" w:hAnsi="Arial" w:cs="Arial"/>
          <w:sz w:val="21"/>
          <w:szCs w:val="21"/>
        </w:rPr>
        <w:t xml:space="preserve"> – Rappresentazione dei processi;</w:t>
      </w:r>
    </w:p>
    <w:p w:rsidR="00582DE2" w:rsidRDefault="00582DE2" w:rsidP="00582DE2">
      <w:pPr>
        <w:pStyle w:val="P"/>
        <w:numPr>
          <w:ilvl w:val="0"/>
          <w:numId w:val="44"/>
        </w:numPr>
        <w:spacing w:before="100" w:after="0" w:line="240" w:lineRule="auto"/>
        <w:rPr>
          <w:rFonts w:ascii="Arial" w:hAnsi="Arial" w:cs="Arial"/>
          <w:sz w:val="21"/>
          <w:szCs w:val="21"/>
        </w:rPr>
      </w:pPr>
      <w:r>
        <w:rPr>
          <w:rFonts w:ascii="Arial" w:hAnsi="Arial" w:cs="Arial"/>
          <w:sz w:val="21"/>
          <w:szCs w:val="21"/>
        </w:rPr>
        <w:t xml:space="preserve">allegato </w:t>
      </w:r>
      <w:r w:rsidR="00941CC6">
        <w:rPr>
          <w:rFonts w:ascii="Arial" w:hAnsi="Arial" w:cs="Arial"/>
          <w:sz w:val="21"/>
          <w:szCs w:val="21"/>
        </w:rPr>
        <w:t>E</w:t>
      </w:r>
      <w:r>
        <w:rPr>
          <w:rFonts w:ascii="Arial" w:hAnsi="Arial" w:cs="Arial"/>
          <w:sz w:val="21"/>
          <w:szCs w:val="21"/>
        </w:rPr>
        <w:t xml:space="preserve"> – Valutazione del rischio;</w:t>
      </w:r>
    </w:p>
    <w:p w:rsidR="00582DE2" w:rsidRDefault="00582DE2" w:rsidP="00582DE2">
      <w:pPr>
        <w:pStyle w:val="P"/>
        <w:numPr>
          <w:ilvl w:val="0"/>
          <w:numId w:val="44"/>
        </w:numPr>
        <w:spacing w:before="100" w:after="0" w:line="240" w:lineRule="auto"/>
        <w:rPr>
          <w:rFonts w:ascii="Arial" w:hAnsi="Arial" w:cs="Arial"/>
          <w:sz w:val="21"/>
          <w:szCs w:val="21"/>
        </w:rPr>
      </w:pPr>
      <w:r>
        <w:rPr>
          <w:rFonts w:ascii="Arial" w:hAnsi="Arial" w:cs="Arial"/>
          <w:sz w:val="21"/>
          <w:szCs w:val="21"/>
        </w:rPr>
        <w:t xml:space="preserve">allegato </w:t>
      </w:r>
      <w:r w:rsidR="00941CC6">
        <w:rPr>
          <w:rFonts w:ascii="Arial" w:hAnsi="Arial" w:cs="Arial"/>
          <w:sz w:val="21"/>
          <w:szCs w:val="21"/>
        </w:rPr>
        <w:t>F</w:t>
      </w:r>
      <w:r>
        <w:rPr>
          <w:rFonts w:ascii="Arial" w:hAnsi="Arial" w:cs="Arial"/>
          <w:sz w:val="21"/>
          <w:szCs w:val="21"/>
        </w:rPr>
        <w:t xml:space="preserve"> – Registro dei rischi</w:t>
      </w:r>
    </w:p>
    <w:p w:rsidR="00582DE2" w:rsidRDefault="00582DE2" w:rsidP="00582DE2">
      <w:pPr>
        <w:pStyle w:val="P"/>
        <w:numPr>
          <w:ilvl w:val="0"/>
          <w:numId w:val="44"/>
        </w:numPr>
        <w:spacing w:before="100" w:after="0" w:line="240" w:lineRule="auto"/>
        <w:rPr>
          <w:rFonts w:ascii="Arial" w:hAnsi="Arial" w:cs="Arial"/>
          <w:sz w:val="21"/>
          <w:szCs w:val="21"/>
        </w:rPr>
      </w:pPr>
      <w:r>
        <w:rPr>
          <w:rFonts w:ascii="Arial" w:hAnsi="Arial" w:cs="Arial"/>
          <w:sz w:val="21"/>
          <w:szCs w:val="21"/>
        </w:rPr>
        <w:t xml:space="preserve">allegato </w:t>
      </w:r>
      <w:r w:rsidR="00941CC6">
        <w:rPr>
          <w:rFonts w:ascii="Arial" w:hAnsi="Arial" w:cs="Arial"/>
          <w:sz w:val="21"/>
          <w:szCs w:val="21"/>
        </w:rPr>
        <w:t>G</w:t>
      </w:r>
      <w:r>
        <w:rPr>
          <w:rFonts w:ascii="Arial" w:hAnsi="Arial" w:cs="Arial"/>
          <w:sz w:val="21"/>
          <w:szCs w:val="21"/>
        </w:rPr>
        <w:t xml:space="preserve"> – Individuazione e programmazione delle misure</w:t>
      </w:r>
    </w:p>
    <w:p w:rsidR="00582DE2" w:rsidRDefault="00582DE2" w:rsidP="00582DE2">
      <w:pPr>
        <w:pStyle w:val="P"/>
        <w:numPr>
          <w:ilvl w:val="0"/>
          <w:numId w:val="44"/>
        </w:numPr>
        <w:spacing w:before="100" w:after="0" w:line="240" w:lineRule="auto"/>
        <w:rPr>
          <w:rFonts w:ascii="Arial" w:hAnsi="Arial" w:cs="Arial"/>
          <w:sz w:val="21"/>
          <w:szCs w:val="21"/>
        </w:rPr>
      </w:pPr>
      <w:r>
        <w:rPr>
          <w:rFonts w:ascii="Arial" w:hAnsi="Arial" w:cs="Arial"/>
          <w:sz w:val="21"/>
          <w:szCs w:val="21"/>
        </w:rPr>
        <w:t xml:space="preserve">allegato </w:t>
      </w:r>
      <w:r w:rsidR="00941CC6">
        <w:rPr>
          <w:rFonts w:ascii="Arial" w:hAnsi="Arial" w:cs="Arial"/>
          <w:sz w:val="21"/>
          <w:szCs w:val="21"/>
        </w:rPr>
        <w:t>H</w:t>
      </w:r>
      <w:r>
        <w:rPr>
          <w:rFonts w:ascii="Arial" w:hAnsi="Arial" w:cs="Arial"/>
          <w:sz w:val="21"/>
          <w:szCs w:val="21"/>
        </w:rPr>
        <w:t xml:space="preserve"> - Sezione “Amministrazione Trasparente” – Elenco degli obblighi di pubblicazione.</w:t>
      </w:r>
    </w:p>
    <w:p w:rsidR="00582DE2" w:rsidRDefault="00582DE2" w:rsidP="00582DE2">
      <w:pPr>
        <w:pStyle w:val="Titolo1"/>
        <w:pageBreakBefore/>
        <w:jc w:val="center"/>
        <w:rPr>
          <w:sz w:val="24"/>
        </w:rPr>
      </w:pPr>
      <w:bookmarkStart w:id="30" w:name="__RefHeading___Toc1996_761212699"/>
      <w:r>
        <w:rPr>
          <w:sz w:val="24"/>
        </w:rPr>
        <w:lastRenderedPageBreak/>
        <w:t>APPENDICE NORMATIVA</w:t>
      </w:r>
      <w:bookmarkEnd w:id="30"/>
    </w:p>
    <w:p w:rsidR="00582DE2" w:rsidRDefault="00582DE2" w:rsidP="00582DE2">
      <w:pPr>
        <w:pStyle w:val="Standard"/>
        <w:spacing w:before="40" w:after="0" w:line="240" w:lineRule="auto"/>
        <w:rPr>
          <w:rFonts w:ascii="Arial" w:hAnsi="Arial" w:cs="Arial"/>
          <w:b/>
          <w:sz w:val="21"/>
          <w:szCs w:val="21"/>
        </w:rPr>
      </w:pPr>
    </w:p>
    <w:p w:rsidR="00582DE2" w:rsidRDefault="00582DE2" w:rsidP="00582DE2">
      <w:pPr>
        <w:pStyle w:val="Standard"/>
        <w:widowControl w:val="0"/>
        <w:spacing w:after="0" w:line="240" w:lineRule="auto"/>
        <w:jc w:val="both"/>
        <w:rPr>
          <w:rFonts w:ascii="Arial" w:hAnsi="Arial" w:cs="Arial"/>
          <w:sz w:val="21"/>
          <w:szCs w:val="21"/>
          <w:lang w:bidi="hi-IN"/>
        </w:rPr>
      </w:pPr>
      <w:r>
        <w:rPr>
          <w:rFonts w:ascii="Arial" w:hAnsi="Arial" w:cs="Arial"/>
          <w:sz w:val="21"/>
          <w:szCs w:val="21"/>
          <w:lang w:bidi="hi-IN"/>
        </w:rPr>
        <w:t>Si riportano di seguito le principali fonti normative sul tema della trasparenza e dell’integrità.</w:t>
      </w:r>
    </w:p>
    <w:p w:rsidR="00582DE2" w:rsidRDefault="00582DE2" w:rsidP="00582DE2">
      <w:pPr>
        <w:pStyle w:val="Standard"/>
        <w:widowControl w:val="0"/>
        <w:spacing w:after="0" w:line="240" w:lineRule="auto"/>
        <w:jc w:val="both"/>
        <w:rPr>
          <w:rFonts w:ascii="Arial" w:hAnsi="Arial" w:cs="Arial"/>
          <w:sz w:val="21"/>
          <w:szCs w:val="21"/>
          <w:lang w:bidi="hi-IN"/>
        </w:rPr>
      </w:pPr>
    </w:p>
    <w:p w:rsidR="00582DE2" w:rsidRDefault="00582DE2" w:rsidP="00582DE2">
      <w:pPr>
        <w:pStyle w:val="Paragrafoelenco"/>
        <w:numPr>
          <w:ilvl w:val="0"/>
          <w:numId w:val="45"/>
        </w:numPr>
        <w:suppressAutoHyphens w:val="0"/>
        <w:autoSpaceDE w:val="0"/>
        <w:spacing w:after="0" w:line="240" w:lineRule="auto"/>
        <w:jc w:val="both"/>
        <w:textAlignment w:val="auto"/>
        <w:rPr>
          <w:rFonts w:ascii="Arial" w:hAnsi="Arial" w:cs="Arial"/>
          <w:sz w:val="21"/>
          <w:szCs w:val="21"/>
          <w:lang w:bidi="hi-IN"/>
        </w:rPr>
      </w:pPr>
      <w:r>
        <w:rPr>
          <w:rFonts w:ascii="Arial" w:hAnsi="Arial" w:cs="Arial"/>
          <w:sz w:val="21"/>
          <w:szCs w:val="21"/>
          <w:lang w:bidi="hi-IN"/>
        </w:rPr>
        <w:t>Delibera ANAC n. 1064 del 13 novembre 2019 “Piano Nazionale Anticorruzione 2019”.</w:t>
      </w:r>
    </w:p>
    <w:p w:rsidR="00582DE2" w:rsidRDefault="00582DE2" w:rsidP="00582DE2">
      <w:pPr>
        <w:pStyle w:val="Paragrafoelenco"/>
        <w:numPr>
          <w:ilvl w:val="0"/>
          <w:numId w:val="45"/>
        </w:numPr>
        <w:suppressAutoHyphens w:val="0"/>
        <w:autoSpaceDE w:val="0"/>
        <w:spacing w:after="0" w:line="240" w:lineRule="auto"/>
        <w:jc w:val="both"/>
        <w:textAlignment w:val="auto"/>
        <w:rPr>
          <w:rFonts w:ascii="Arial" w:hAnsi="Arial" w:cs="Arial"/>
          <w:sz w:val="21"/>
          <w:szCs w:val="21"/>
          <w:lang w:bidi="hi-IN"/>
        </w:rPr>
      </w:pPr>
      <w:r>
        <w:rPr>
          <w:rFonts w:ascii="Arial" w:hAnsi="Arial" w:cs="Arial"/>
          <w:sz w:val="21"/>
          <w:szCs w:val="21"/>
          <w:lang w:bidi="hi-IN"/>
        </w:rPr>
        <w:t>Delibera ANAC n. 1074 del 21 novembre 2018 “Approvazione definitiva dell’Aggiornamento 2018 al Piano Nazionale Anticorruzione”.</w:t>
      </w:r>
    </w:p>
    <w:p w:rsidR="00582DE2" w:rsidRDefault="00582DE2" w:rsidP="00582DE2">
      <w:pPr>
        <w:pStyle w:val="Paragrafoelenco"/>
        <w:numPr>
          <w:ilvl w:val="0"/>
          <w:numId w:val="45"/>
        </w:numPr>
        <w:suppressAutoHyphens w:val="0"/>
        <w:autoSpaceDE w:val="0"/>
        <w:spacing w:after="0" w:line="240" w:lineRule="auto"/>
        <w:jc w:val="both"/>
        <w:textAlignment w:val="auto"/>
      </w:pPr>
      <w:r>
        <w:rPr>
          <w:rFonts w:ascii="Arial" w:hAnsi="Arial" w:cs="Arial"/>
          <w:sz w:val="21"/>
          <w:szCs w:val="21"/>
          <w:lang w:bidi="hi-IN"/>
        </w:rPr>
        <w:t>Delibera ANAC n.</w:t>
      </w:r>
      <w:r w:rsidR="006F4CFE">
        <w:rPr>
          <w:rFonts w:ascii="Arial" w:hAnsi="Arial" w:cs="Arial"/>
          <w:sz w:val="21"/>
          <w:szCs w:val="21"/>
          <w:lang w:bidi="hi-IN"/>
        </w:rPr>
        <w:t xml:space="preserve"> </w:t>
      </w:r>
      <w:r>
        <w:rPr>
          <w:rFonts w:ascii="Arial" w:hAnsi="Arial" w:cs="Arial"/>
          <w:sz w:val="21"/>
          <w:szCs w:val="21"/>
          <w:lang w:bidi="hi-IN"/>
        </w:rPr>
        <w:t>1208 del 22 novembre 2017</w:t>
      </w:r>
      <w:r>
        <w:rPr>
          <w:rFonts w:ascii="Arial" w:hAnsi="Arial" w:cs="Arial"/>
          <w:i/>
          <w:sz w:val="21"/>
          <w:szCs w:val="21"/>
          <w:lang w:bidi="hi-IN"/>
        </w:rPr>
        <w:t xml:space="preserve"> “Approvazione definitiva dell’Aggiornamento 2017 al Piano Nazionale Anticorruzione”.</w:t>
      </w:r>
    </w:p>
    <w:p w:rsidR="00582DE2" w:rsidRDefault="00582DE2" w:rsidP="00582DE2">
      <w:pPr>
        <w:pStyle w:val="Paragrafoelenco"/>
        <w:numPr>
          <w:ilvl w:val="0"/>
          <w:numId w:val="45"/>
        </w:numPr>
        <w:suppressAutoHyphens w:val="0"/>
        <w:autoSpaceDE w:val="0"/>
        <w:spacing w:after="0" w:line="240" w:lineRule="auto"/>
        <w:textAlignment w:val="auto"/>
      </w:pPr>
      <w:r>
        <w:rPr>
          <w:rFonts w:ascii="Arial" w:hAnsi="Arial" w:cs="Arial"/>
          <w:sz w:val="21"/>
          <w:szCs w:val="21"/>
          <w:lang w:bidi="hi-IN"/>
        </w:rPr>
        <w:t>Delibera ANAC n. 831 del 3 agosto 2016</w:t>
      </w:r>
      <w:r>
        <w:rPr>
          <w:rFonts w:ascii="Arial" w:hAnsi="Arial" w:cs="Arial"/>
          <w:i/>
          <w:sz w:val="21"/>
          <w:szCs w:val="21"/>
          <w:lang w:bidi="hi-IN"/>
        </w:rPr>
        <w:t xml:space="preserve"> “Approvazione definitiva dell’Aggiornamento 2016 al Piano Nazionale Anticorruzione”.</w:t>
      </w:r>
    </w:p>
    <w:p w:rsidR="00582DE2" w:rsidRDefault="00582DE2" w:rsidP="00582DE2">
      <w:pPr>
        <w:pStyle w:val="Standard"/>
        <w:widowControl w:val="0"/>
        <w:numPr>
          <w:ilvl w:val="0"/>
          <w:numId w:val="46"/>
        </w:numPr>
        <w:spacing w:after="0" w:line="240" w:lineRule="auto"/>
        <w:jc w:val="both"/>
      </w:pPr>
      <w:r>
        <w:rPr>
          <w:rFonts w:ascii="Arial" w:hAnsi="Arial" w:cs="Arial"/>
          <w:sz w:val="21"/>
          <w:szCs w:val="21"/>
          <w:lang w:bidi="hi-IN"/>
        </w:rPr>
        <w:t>L. 07.08.2015 n. 124 “</w:t>
      </w:r>
      <w:r>
        <w:rPr>
          <w:rFonts w:ascii="Arial" w:hAnsi="Arial" w:cs="Arial"/>
          <w:i/>
          <w:sz w:val="21"/>
          <w:szCs w:val="21"/>
          <w:lang w:bidi="hi-IN"/>
        </w:rPr>
        <w:t>Deleghe al Governo in materia di riorganizzazione delle amministrazioni pubbliche</w:t>
      </w:r>
      <w:r>
        <w:rPr>
          <w:rFonts w:ascii="Arial" w:hAnsi="Arial" w:cs="Arial"/>
          <w:sz w:val="21"/>
          <w:szCs w:val="21"/>
          <w:lang w:bidi="hi-IN"/>
        </w:rPr>
        <w:t>”</w:t>
      </w:r>
    </w:p>
    <w:p w:rsidR="00582DE2" w:rsidRDefault="00582DE2" w:rsidP="00582DE2">
      <w:pPr>
        <w:pStyle w:val="Standard"/>
        <w:widowControl w:val="0"/>
        <w:numPr>
          <w:ilvl w:val="0"/>
          <w:numId w:val="21"/>
        </w:numPr>
        <w:spacing w:after="0" w:line="240" w:lineRule="auto"/>
        <w:ind w:left="714" w:hanging="357"/>
        <w:jc w:val="both"/>
      </w:pPr>
      <w:r>
        <w:rPr>
          <w:rFonts w:ascii="Arial" w:hAnsi="Arial" w:cs="Arial"/>
          <w:sz w:val="21"/>
          <w:szCs w:val="21"/>
          <w:lang w:bidi="hi-IN"/>
        </w:rPr>
        <w:t>L. 11.08.2014, n. 114 di conversione del D.L. 24.06.2014, n. 90, recante all’art. 19: “</w:t>
      </w:r>
      <w:r>
        <w:rPr>
          <w:rFonts w:ascii="Arial" w:hAnsi="Arial" w:cs="Arial"/>
          <w:i/>
          <w:sz w:val="21"/>
          <w:szCs w:val="21"/>
          <w:lang w:bidi="hi-IN"/>
        </w:rPr>
        <w:t>Soppressione dell’Autorità per la vigilanza sui contratti pubblici di lavori, servizi e forniture e definizione delle funzioni dell’Autorità nazionale anticorruzione</w:t>
      </w:r>
      <w:r>
        <w:rPr>
          <w:rFonts w:ascii="Arial" w:hAnsi="Arial" w:cs="Arial"/>
          <w:sz w:val="21"/>
          <w:szCs w:val="21"/>
          <w:lang w:bidi="hi-IN"/>
        </w:rPr>
        <w:t>” e all’art. 32: “</w:t>
      </w:r>
      <w:r>
        <w:rPr>
          <w:rFonts w:ascii="Arial" w:hAnsi="Arial" w:cs="Arial"/>
          <w:i/>
          <w:sz w:val="21"/>
          <w:szCs w:val="21"/>
          <w:lang w:bidi="hi-IN"/>
        </w:rPr>
        <w:t>Misure straordinarie di gestione, sostegno e monitoraggio di imprese nell'ambito della prevenzione della corruzione</w:t>
      </w:r>
      <w:r>
        <w:rPr>
          <w:rFonts w:ascii="Arial" w:hAnsi="Arial" w:cs="Arial"/>
          <w:sz w:val="21"/>
          <w:szCs w:val="21"/>
          <w:lang w:bidi="hi-IN"/>
        </w:rPr>
        <w:t>”.</w:t>
      </w:r>
    </w:p>
    <w:p w:rsidR="00582DE2" w:rsidRDefault="00582DE2" w:rsidP="00582DE2">
      <w:pPr>
        <w:pStyle w:val="Standard"/>
        <w:widowControl w:val="0"/>
        <w:numPr>
          <w:ilvl w:val="0"/>
          <w:numId w:val="21"/>
        </w:numPr>
        <w:spacing w:after="0" w:line="240" w:lineRule="auto"/>
        <w:jc w:val="both"/>
      </w:pPr>
      <w:r>
        <w:rPr>
          <w:rFonts w:ascii="Arial" w:hAnsi="Arial" w:cs="Arial"/>
          <w:sz w:val="21"/>
          <w:szCs w:val="21"/>
          <w:lang w:bidi="hi-IN"/>
        </w:rPr>
        <w:t>L. 06.11.2012 n. 190 “</w:t>
      </w:r>
      <w:r>
        <w:rPr>
          <w:rFonts w:ascii="Arial" w:hAnsi="Arial" w:cs="Arial"/>
          <w:i/>
          <w:sz w:val="21"/>
          <w:szCs w:val="21"/>
          <w:lang w:bidi="hi-IN"/>
        </w:rPr>
        <w:t>Disposizioni per la prevenzione e la repressione della corruzione e dell’illegalità nella pubblica amministrazione</w:t>
      </w:r>
      <w:r>
        <w:rPr>
          <w:rFonts w:ascii="Arial" w:hAnsi="Arial" w:cs="Arial"/>
          <w:sz w:val="21"/>
          <w:szCs w:val="21"/>
          <w:lang w:bidi="hi-IN"/>
        </w:rPr>
        <w:t>”.</w:t>
      </w:r>
    </w:p>
    <w:p w:rsidR="00582DE2" w:rsidRDefault="00582DE2" w:rsidP="00582DE2">
      <w:pPr>
        <w:pStyle w:val="Standard"/>
        <w:widowControl w:val="0"/>
        <w:numPr>
          <w:ilvl w:val="0"/>
          <w:numId w:val="21"/>
        </w:numPr>
        <w:spacing w:after="0" w:line="240" w:lineRule="auto"/>
        <w:jc w:val="both"/>
        <w:rPr>
          <w:rFonts w:ascii="Arial" w:hAnsi="Arial" w:cs="Arial"/>
          <w:sz w:val="21"/>
          <w:szCs w:val="21"/>
          <w:lang w:bidi="hi-IN"/>
        </w:rPr>
      </w:pPr>
      <w:r>
        <w:rPr>
          <w:rFonts w:ascii="Arial" w:hAnsi="Arial" w:cs="Arial"/>
          <w:sz w:val="21"/>
          <w:szCs w:val="21"/>
          <w:lang w:bidi="hi-IN"/>
        </w:rPr>
        <w:t>L. 28.06.2012 n. 110 e L. 28.06.2012 n. 112, di ratifica di due convenzioni del Consiglio d’Europa siglate a Strasburgo nel 1999.</w:t>
      </w:r>
    </w:p>
    <w:p w:rsidR="00582DE2" w:rsidRDefault="00582DE2" w:rsidP="00582DE2">
      <w:pPr>
        <w:pStyle w:val="Standard"/>
        <w:widowControl w:val="0"/>
        <w:numPr>
          <w:ilvl w:val="0"/>
          <w:numId w:val="21"/>
        </w:numPr>
        <w:spacing w:after="0" w:line="240" w:lineRule="auto"/>
        <w:jc w:val="both"/>
      </w:pPr>
      <w:r>
        <w:rPr>
          <w:rFonts w:ascii="Arial" w:hAnsi="Arial" w:cs="Arial"/>
          <w:sz w:val="21"/>
          <w:szCs w:val="21"/>
          <w:lang w:bidi="hi-IN"/>
        </w:rPr>
        <w:t>L. 11.11.2011 n. 180 “</w:t>
      </w:r>
      <w:r>
        <w:rPr>
          <w:rFonts w:ascii="Arial" w:hAnsi="Arial" w:cs="Arial"/>
          <w:i/>
          <w:sz w:val="21"/>
          <w:szCs w:val="21"/>
          <w:lang w:bidi="hi-IN"/>
        </w:rPr>
        <w:t>Norme per la tutela della libertà d’impresa. Statuto delle imprese</w:t>
      </w:r>
      <w:r>
        <w:rPr>
          <w:rFonts w:ascii="Arial" w:hAnsi="Arial" w:cs="Arial"/>
          <w:sz w:val="21"/>
          <w:szCs w:val="21"/>
          <w:lang w:bidi="hi-IN"/>
        </w:rPr>
        <w:t>”.</w:t>
      </w:r>
    </w:p>
    <w:p w:rsidR="00582DE2" w:rsidRDefault="00582DE2" w:rsidP="00582DE2">
      <w:pPr>
        <w:pStyle w:val="Standard"/>
        <w:widowControl w:val="0"/>
        <w:numPr>
          <w:ilvl w:val="0"/>
          <w:numId w:val="21"/>
        </w:numPr>
        <w:spacing w:after="0" w:line="240" w:lineRule="auto"/>
        <w:jc w:val="both"/>
      </w:pPr>
      <w:r>
        <w:rPr>
          <w:rFonts w:ascii="Arial" w:hAnsi="Arial" w:cs="Arial"/>
          <w:sz w:val="21"/>
          <w:szCs w:val="21"/>
          <w:lang w:bidi="hi-IN"/>
        </w:rPr>
        <w:t>L. 12.07.2011 n.</w:t>
      </w:r>
      <w:r w:rsidR="006F4CFE">
        <w:rPr>
          <w:rFonts w:ascii="Arial" w:hAnsi="Arial" w:cs="Arial"/>
          <w:sz w:val="21"/>
          <w:szCs w:val="21"/>
          <w:lang w:bidi="hi-IN"/>
        </w:rPr>
        <w:t xml:space="preserve"> </w:t>
      </w:r>
      <w:r>
        <w:rPr>
          <w:rFonts w:ascii="Arial" w:hAnsi="Arial" w:cs="Arial"/>
          <w:sz w:val="21"/>
          <w:szCs w:val="21"/>
          <w:lang w:bidi="hi-IN"/>
        </w:rPr>
        <w:t>106 “</w:t>
      </w:r>
      <w:r>
        <w:rPr>
          <w:rFonts w:ascii="Arial" w:hAnsi="Arial" w:cs="Arial"/>
          <w:i/>
          <w:sz w:val="21"/>
          <w:szCs w:val="21"/>
          <w:lang w:bidi="hi-IN"/>
        </w:rPr>
        <w:t>Conversione in legge, con modificazioni, del decreto-legge 13 maggio 2011 n. 70, concernente Semestre Europeo - Prime disposizioni urgenti per l'economia</w:t>
      </w:r>
      <w:r>
        <w:rPr>
          <w:rFonts w:ascii="Arial" w:hAnsi="Arial" w:cs="Arial"/>
          <w:sz w:val="21"/>
          <w:szCs w:val="21"/>
          <w:lang w:bidi="hi-IN"/>
        </w:rPr>
        <w:t>”.</w:t>
      </w:r>
    </w:p>
    <w:p w:rsidR="00582DE2" w:rsidRDefault="00582DE2" w:rsidP="00582DE2">
      <w:pPr>
        <w:pStyle w:val="Standard"/>
        <w:widowControl w:val="0"/>
        <w:numPr>
          <w:ilvl w:val="0"/>
          <w:numId w:val="21"/>
        </w:numPr>
        <w:spacing w:after="0" w:line="240" w:lineRule="auto"/>
        <w:jc w:val="both"/>
      </w:pPr>
      <w:r>
        <w:rPr>
          <w:rFonts w:ascii="Arial" w:hAnsi="Arial" w:cs="Arial"/>
          <w:sz w:val="21"/>
          <w:szCs w:val="21"/>
          <w:lang w:bidi="hi-IN"/>
        </w:rPr>
        <w:t>L. 03.08.2009 n.</w:t>
      </w:r>
      <w:r w:rsidR="006F4CFE">
        <w:rPr>
          <w:rFonts w:ascii="Arial" w:hAnsi="Arial" w:cs="Arial"/>
          <w:sz w:val="21"/>
          <w:szCs w:val="21"/>
          <w:lang w:bidi="hi-IN"/>
        </w:rPr>
        <w:t xml:space="preserve"> </w:t>
      </w:r>
      <w:r>
        <w:rPr>
          <w:rFonts w:ascii="Arial" w:hAnsi="Arial" w:cs="Arial"/>
          <w:sz w:val="21"/>
          <w:szCs w:val="21"/>
          <w:lang w:bidi="hi-IN"/>
        </w:rPr>
        <w:t>116 “</w:t>
      </w:r>
      <w:r>
        <w:rPr>
          <w:rFonts w:ascii="Arial" w:hAnsi="Arial" w:cs="Arial"/>
          <w:i/>
          <w:sz w:val="21"/>
          <w:szCs w:val="21"/>
          <w:lang w:bidi="hi-IN"/>
        </w:rPr>
        <w:t>Ratifica della Convenzione dell’Organizzazione delle Nazioni Unite contro la corruzione del 31 ottobre 2003</w:t>
      </w:r>
      <w:r>
        <w:rPr>
          <w:rFonts w:ascii="Arial" w:hAnsi="Arial" w:cs="Arial"/>
          <w:sz w:val="21"/>
          <w:szCs w:val="21"/>
          <w:lang w:bidi="hi-IN"/>
        </w:rPr>
        <w:t>”.</w:t>
      </w:r>
    </w:p>
    <w:p w:rsidR="00582DE2" w:rsidRDefault="00582DE2" w:rsidP="00582DE2">
      <w:pPr>
        <w:pStyle w:val="Standard"/>
        <w:widowControl w:val="0"/>
        <w:numPr>
          <w:ilvl w:val="0"/>
          <w:numId w:val="21"/>
        </w:numPr>
        <w:spacing w:after="0" w:line="240" w:lineRule="auto"/>
        <w:jc w:val="both"/>
      </w:pPr>
      <w:r>
        <w:rPr>
          <w:rFonts w:ascii="Arial" w:hAnsi="Arial" w:cs="Arial"/>
          <w:sz w:val="21"/>
          <w:szCs w:val="21"/>
          <w:lang w:bidi="hi-IN"/>
        </w:rPr>
        <w:t>L. 18.06.2009 n. 69 “</w:t>
      </w:r>
      <w:r>
        <w:rPr>
          <w:rFonts w:ascii="Arial" w:hAnsi="Arial" w:cs="Arial"/>
          <w:i/>
          <w:sz w:val="21"/>
          <w:szCs w:val="21"/>
          <w:lang w:bidi="hi-IN"/>
        </w:rPr>
        <w:t>Disposizioni per lo sviluppo economico, la semplificazione, la competitività nonché in materia di processo civile</w:t>
      </w:r>
      <w:r>
        <w:rPr>
          <w:rFonts w:ascii="Arial" w:hAnsi="Arial" w:cs="Arial"/>
          <w:sz w:val="21"/>
          <w:szCs w:val="21"/>
          <w:lang w:bidi="hi-IN"/>
        </w:rPr>
        <w:t>”.</w:t>
      </w:r>
    </w:p>
    <w:p w:rsidR="00582DE2" w:rsidRDefault="00582DE2" w:rsidP="00582DE2">
      <w:pPr>
        <w:pStyle w:val="Standard"/>
        <w:widowControl w:val="0"/>
        <w:numPr>
          <w:ilvl w:val="0"/>
          <w:numId w:val="21"/>
        </w:numPr>
        <w:spacing w:after="0" w:line="240" w:lineRule="auto"/>
        <w:jc w:val="both"/>
      </w:pPr>
      <w:r>
        <w:rPr>
          <w:rFonts w:ascii="Arial" w:hAnsi="Arial" w:cs="Arial"/>
          <w:sz w:val="21"/>
          <w:szCs w:val="21"/>
          <w:lang w:bidi="hi-IN"/>
        </w:rPr>
        <w:t>L. R. (Regione Autonoma Trentino - Alto Adige) 29.10.2014 n.</w:t>
      </w:r>
      <w:r w:rsidR="006F4CFE">
        <w:rPr>
          <w:rFonts w:ascii="Arial" w:hAnsi="Arial" w:cs="Arial"/>
          <w:sz w:val="21"/>
          <w:szCs w:val="21"/>
          <w:lang w:bidi="hi-IN"/>
        </w:rPr>
        <w:t xml:space="preserve"> </w:t>
      </w:r>
      <w:r>
        <w:rPr>
          <w:rFonts w:ascii="Arial" w:hAnsi="Arial" w:cs="Arial"/>
          <w:sz w:val="21"/>
          <w:szCs w:val="21"/>
          <w:lang w:bidi="hi-IN"/>
        </w:rPr>
        <w:t>10  recante “</w:t>
      </w:r>
      <w:r>
        <w:rPr>
          <w:rFonts w:ascii="Arial" w:hAnsi="Arial" w:cs="Arial"/>
          <w:i/>
          <w:sz w:val="21"/>
          <w:szCs w:val="21"/>
          <w:lang w:bidi="hi-IN"/>
        </w:rPr>
        <w:t>Disposizioni in materia di pubblicità, trasparenza e diffusione di informazioni da parte della Regione e degli enti a ordinamento regionale, nonché modifiche alle leggi regionali 24 giugno 1957, n. 11 (Referendum per l'abrogazione di leggi regionali) e 16 luglio 1972, n. 15 (Norme sull'iniziativa popolare nella formazione delle leggi regionali e provinciali) e successive modificazioni, in merito ai soggetti legittimati all'autenticazione delle firme dei sottoscrittori”.</w:t>
      </w:r>
    </w:p>
    <w:p w:rsidR="00582DE2" w:rsidRDefault="00582DE2" w:rsidP="00582DE2">
      <w:pPr>
        <w:pStyle w:val="Standard"/>
        <w:widowControl w:val="0"/>
        <w:numPr>
          <w:ilvl w:val="0"/>
          <w:numId w:val="21"/>
        </w:numPr>
        <w:spacing w:after="0" w:line="240" w:lineRule="auto"/>
        <w:jc w:val="both"/>
        <w:rPr>
          <w:rFonts w:ascii="Arial" w:hAnsi="Arial" w:cs="Arial"/>
          <w:sz w:val="21"/>
          <w:szCs w:val="21"/>
          <w:lang w:bidi="hi-IN"/>
        </w:rPr>
      </w:pPr>
      <w:r>
        <w:rPr>
          <w:rFonts w:ascii="Arial" w:hAnsi="Arial" w:cs="Arial"/>
          <w:sz w:val="21"/>
          <w:szCs w:val="21"/>
          <w:lang w:bidi="hi-IN"/>
        </w:rPr>
        <w:t>L. R. (Regione Autonoma Trentino - Alto Adige) 13.12.2012 n. 8, recante all’art.</w:t>
      </w:r>
      <w:r w:rsidR="006F4CFE">
        <w:rPr>
          <w:rFonts w:ascii="Arial" w:hAnsi="Arial" w:cs="Arial"/>
          <w:sz w:val="21"/>
          <w:szCs w:val="21"/>
          <w:lang w:bidi="hi-IN"/>
        </w:rPr>
        <w:t xml:space="preserve"> </w:t>
      </w:r>
      <w:r>
        <w:rPr>
          <w:rFonts w:ascii="Arial" w:hAnsi="Arial" w:cs="Arial"/>
          <w:sz w:val="21"/>
          <w:szCs w:val="21"/>
          <w:lang w:bidi="hi-IN"/>
        </w:rPr>
        <w:t>7 le disposizioni in materia di “Amministrazione aperta”, successivamente modificata con L. R. TAA. 05.02.2013 n. 1 e L. R. 02.05.2013 n.</w:t>
      </w:r>
      <w:r w:rsidR="006F4CFE">
        <w:rPr>
          <w:rFonts w:ascii="Arial" w:hAnsi="Arial" w:cs="Arial"/>
          <w:sz w:val="21"/>
          <w:szCs w:val="21"/>
          <w:lang w:bidi="hi-IN"/>
        </w:rPr>
        <w:t xml:space="preserve"> </w:t>
      </w:r>
      <w:r>
        <w:rPr>
          <w:rFonts w:ascii="Arial" w:hAnsi="Arial" w:cs="Arial"/>
          <w:sz w:val="21"/>
          <w:szCs w:val="21"/>
          <w:lang w:bidi="hi-IN"/>
        </w:rPr>
        <w:t>3, in tema di trasparenza ed integrità (si veda circolare n. 3/EL/2013/BZ/di data 15.05.2013), e da ultima modificata dalla L.R. n.</w:t>
      </w:r>
      <w:r w:rsidR="006F4CFE">
        <w:rPr>
          <w:rFonts w:ascii="Arial" w:hAnsi="Arial" w:cs="Arial"/>
          <w:sz w:val="21"/>
          <w:szCs w:val="21"/>
          <w:lang w:bidi="hi-IN"/>
        </w:rPr>
        <w:t xml:space="preserve"> </w:t>
      </w:r>
      <w:r>
        <w:rPr>
          <w:rFonts w:ascii="Arial" w:hAnsi="Arial" w:cs="Arial"/>
          <w:sz w:val="21"/>
          <w:szCs w:val="21"/>
          <w:lang w:bidi="hi-IN"/>
        </w:rPr>
        <w:t>10/2014 di cui sopra.</w:t>
      </w:r>
    </w:p>
    <w:p w:rsidR="00582DE2" w:rsidRDefault="00582DE2" w:rsidP="00582DE2">
      <w:pPr>
        <w:pStyle w:val="Standard"/>
        <w:widowControl w:val="0"/>
        <w:numPr>
          <w:ilvl w:val="0"/>
          <w:numId w:val="21"/>
        </w:numPr>
        <w:spacing w:after="0" w:line="240" w:lineRule="auto"/>
        <w:jc w:val="both"/>
        <w:rPr>
          <w:rFonts w:ascii="Arial" w:hAnsi="Arial" w:cs="Arial"/>
          <w:sz w:val="21"/>
          <w:szCs w:val="21"/>
          <w:lang w:bidi="hi-IN"/>
        </w:rPr>
      </w:pPr>
      <w:r>
        <w:rPr>
          <w:rFonts w:ascii="Arial" w:hAnsi="Arial" w:cs="Arial"/>
          <w:sz w:val="21"/>
          <w:szCs w:val="21"/>
          <w:lang w:bidi="hi-IN"/>
        </w:rPr>
        <w:t>L. R. (Regione Autonoma Trentino - Alto Adige) 15 giugno 2006, n. 1 recante Disposizioni per il concorso della Regione Trentino-Alto Adige alla realizzazione degli obiettivi di contenimento della spesa pubblica e norme sulla rimozione del vincolo di destinazione del patrimonio già appartenente agli enti comunali di assistenza</w:t>
      </w:r>
    </w:p>
    <w:p w:rsidR="00582DE2" w:rsidRDefault="00582DE2" w:rsidP="00582DE2">
      <w:pPr>
        <w:pStyle w:val="Standard"/>
        <w:widowControl w:val="0"/>
        <w:numPr>
          <w:ilvl w:val="0"/>
          <w:numId w:val="21"/>
        </w:numPr>
        <w:spacing w:after="0" w:line="240" w:lineRule="auto"/>
        <w:jc w:val="both"/>
        <w:rPr>
          <w:rFonts w:ascii="Arial" w:hAnsi="Arial" w:cs="Arial"/>
          <w:sz w:val="21"/>
          <w:szCs w:val="21"/>
          <w:lang w:bidi="hi-IN"/>
        </w:rPr>
      </w:pPr>
      <w:r>
        <w:rPr>
          <w:rFonts w:ascii="Arial" w:hAnsi="Arial" w:cs="Arial"/>
          <w:sz w:val="21"/>
          <w:szCs w:val="21"/>
          <w:lang w:bidi="hi-IN"/>
        </w:rPr>
        <w:t>L. R. (Regione Autonoma Trentino - Alto Adige) 21 settembre 2005, n. 7 recante Nuovo ordinamento delle istituzioni pubbliche di assistenza e beneficenza – aziende pubbliche di servizi alla persona</w:t>
      </w:r>
    </w:p>
    <w:p w:rsidR="00582DE2" w:rsidRDefault="00582DE2" w:rsidP="00582DE2">
      <w:pPr>
        <w:pStyle w:val="Standard"/>
        <w:widowControl w:val="0"/>
        <w:numPr>
          <w:ilvl w:val="0"/>
          <w:numId w:val="21"/>
        </w:numPr>
        <w:spacing w:after="0" w:line="240" w:lineRule="auto"/>
        <w:jc w:val="both"/>
      </w:pPr>
      <w:r>
        <w:rPr>
          <w:rFonts w:ascii="Arial" w:hAnsi="Arial" w:cs="Arial"/>
          <w:sz w:val="21"/>
          <w:szCs w:val="21"/>
          <w:lang w:bidi="hi-IN"/>
        </w:rPr>
        <w:t>D.  Lgs. 08.06.2016 n. 97 “</w:t>
      </w:r>
      <w:r>
        <w:rPr>
          <w:rFonts w:ascii="Arial" w:hAnsi="Arial" w:cs="Arial"/>
          <w:i/>
          <w:sz w:val="21"/>
          <w:szCs w:val="21"/>
          <w:lang w:bidi="hi-IN"/>
        </w:rPr>
        <w:t>Revisione e semplificazione delle disposizioni in materia di prevenzione della corruzione e di trasparenza</w:t>
      </w:r>
      <w:r>
        <w:rPr>
          <w:rFonts w:ascii="Arial" w:hAnsi="Arial" w:cs="Arial"/>
          <w:sz w:val="21"/>
          <w:szCs w:val="21"/>
          <w:lang w:bidi="hi-IN"/>
        </w:rPr>
        <w:t>”</w:t>
      </w:r>
    </w:p>
    <w:p w:rsidR="00582DE2" w:rsidRDefault="00582DE2" w:rsidP="00582DE2">
      <w:pPr>
        <w:pStyle w:val="Standard"/>
        <w:widowControl w:val="0"/>
        <w:numPr>
          <w:ilvl w:val="0"/>
          <w:numId w:val="21"/>
        </w:numPr>
        <w:spacing w:after="0" w:line="240" w:lineRule="auto"/>
        <w:jc w:val="both"/>
      </w:pPr>
      <w:r>
        <w:rPr>
          <w:rFonts w:ascii="Arial" w:hAnsi="Arial" w:cs="Arial"/>
          <w:sz w:val="21"/>
          <w:szCs w:val="21"/>
          <w:lang w:bidi="hi-IN"/>
        </w:rPr>
        <w:t>D. Lgs. 14.03.2013 n. 39 “</w:t>
      </w:r>
      <w:r>
        <w:rPr>
          <w:rFonts w:ascii="Arial" w:hAnsi="Arial" w:cs="Arial"/>
          <w:i/>
          <w:sz w:val="21"/>
          <w:szCs w:val="21"/>
          <w:lang w:bidi="hi-IN"/>
        </w:rPr>
        <w:t>Riordino della disciplina riguardante gli obblighi di pubblicità, trasparenza e diffusione di informazioni da parte delle pubbliche amministrazioni</w:t>
      </w:r>
      <w:r>
        <w:rPr>
          <w:rFonts w:ascii="Arial" w:hAnsi="Arial" w:cs="Arial"/>
          <w:sz w:val="21"/>
          <w:szCs w:val="21"/>
          <w:lang w:bidi="hi-IN"/>
        </w:rPr>
        <w:t>”.</w:t>
      </w:r>
    </w:p>
    <w:p w:rsidR="00582DE2" w:rsidRDefault="00582DE2" w:rsidP="00582DE2">
      <w:pPr>
        <w:pStyle w:val="Standard"/>
        <w:widowControl w:val="0"/>
        <w:numPr>
          <w:ilvl w:val="0"/>
          <w:numId w:val="21"/>
        </w:numPr>
        <w:spacing w:after="0" w:line="240" w:lineRule="auto"/>
        <w:jc w:val="both"/>
      </w:pPr>
      <w:r>
        <w:rPr>
          <w:rFonts w:ascii="Arial" w:hAnsi="Arial" w:cs="Arial"/>
          <w:sz w:val="21"/>
          <w:szCs w:val="21"/>
          <w:lang w:bidi="hi-IN"/>
        </w:rPr>
        <w:t xml:space="preserve">D. Lgs. 14.03.2013 n. 33 </w:t>
      </w:r>
      <w:r>
        <w:rPr>
          <w:rFonts w:ascii="Arial" w:eastAsia="Arial Unicode MS" w:hAnsi="Arial" w:cs="Arial"/>
          <w:sz w:val="21"/>
          <w:szCs w:val="21"/>
          <w:lang w:bidi="hi-IN"/>
        </w:rPr>
        <w:t>“</w:t>
      </w:r>
      <w:r>
        <w:rPr>
          <w:rFonts w:ascii="Arial" w:eastAsia="Arial Unicode MS" w:hAnsi="Arial" w:cs="Arial"/>
          <w:i/>
          <w:sz w:val="21"/>
          <w:szCs w:val="21"/>
          <w:lang w:bidi="hi-IN"/>
        </w:rPr>
        <w:t>Disposizioni in materia di inconferibilità e incompatibilità di incarichi presso le pubbliche amministrazioni e presso gli enti privati in controllo pubblico, a norma dell’articolo 1, commi 49 e 50, della legge 6 novembre 2012, n. 190</w:t>
      </w:r>
      <w:r>
        <w:rPr>
          <w:rFonts w:ascii="Arial" w:eastAsia="Arial Unicode MS" w:hAnsi="Arial" w:cs="Arial"/>
          <w:sz w:val="21"/>
          <w:szCs w:val="21"/>
          <w:lang w:bidi="hi-IN"/>
        </w:rPr>
        <w:t>”.</w:t>
      </w:r>
    </w:p>
    <w:p w:rsidR="00582DE2" w:rsidRDefault="00582DE2" w:rsidP="00582DE2">
      <w:pPr>
        <w:pStyle w:val="Standard"/>
        <w:widowControl w:val="0"/>
        <w:numPr>
          <w:ilvl w:val="0"/>
          <w:numId w:val="21"/>
        </w:numPr>
        <w:spacing w:after="0" w:line="240" w:lineRule="auto"/>
        <w:jc w:val="both"/>
      </w:pPr>
      <w:r>
        <w:rPr>
          <w:rFonts w:ascii="Arial" w:eastAsia="Arial Unicode MS" w:hAnsi="Arial" w:cs="Arial"/>
          <w:sz w:val="21"/>
          <w:szCs w:val="21"/>
          <w:lang w:bidi="hi-IN"/>
        </w:rPr>
        <w:t>D. Lgs. 27.10.2009 n. 150 “</w:t>
      </w:r>
      <w:r>
        <w:rPr>
          <w:rFonts w:ascii="Arial" w:eastAsia="Arial Unicode MS" w:hAnsi="Arial" w:cs="Arial"/>
          <w:i/>
          <w:sz w:val="21"/>
          <w:szCs w:val="21"/>
          <w:lang w:bidi="hi-IN"/>
        </w:rPr>
        <w:t>Attuazione della legge 4 marzo 2009, n. 15, in materia di ottimizzazione della produttività del lavoro pubblico e di efficienza e trasparenza delle pubbliche amministrazioni</w:t>
      </w:r>
      <w:r>
        <w:rPr>
          <w:rFonts w:ascii="Arial" w:eastAsia="Arial Unicode MS" w:hAnsi="Arial" w:cs="Arial"/>
          <w:sz w:val="21"/>
          <w:szCs w:val="21"/>
          <w:lang w:bidi="hi-IN"/>
        </w:rPr>
        <w:t>”.</w:t>
      </w:r>
    </w:p>
    <w:p w:rsidR="00582DE2" w:rsidRDefault="00582DE2" w:rsidP="00582DE2">
      <w:pPr>
        <w:pStyle w:val="Standard"/>
        <w:widowControl w:val="0"/>
        <w:numPr>
          <w:ilvl w:val="0"/>
          <w:numId w:val="21"/>
        </w:numPr>
        <w:spacing w:after="0" w:line="240" w:lineRule="auto"/>
        <w:jc w:val="both"/>
      </w:pPr>
      <w:r>
        <w:rPr>
          <w:rFonts w:ascii="Arial" w:hAnsi="Arial" w:cs="Arial"/>
          <w:sz w:val="21"/>
          <w:szCs w:val="21"/>
          <w:lang w:bidi="hi-IN"/>
        </w:rPr>
        <w:t>D. Lgs. 12.04.2006 n. 163 e ss. mm. “</w:t>
      </w:r>
      <w:r>
        <w:rPr>
          <w:rFonts w:ascii="Arial" w:hAnsi="Arial" w:cs="Arial"/>
          <w:i/>
          <w:sz w:val="21"/>
          <w:szCs w:val="21"/>
          <w:lang w:bidi="hi-IN"/>
        </w:rPr>
        <w:t xml:space="preserve">Codice dei contratti pubblici relativi a lavori, servizi e </w:t>
      </w:r>
      <w:r>
        <w:rPr>
          <w:rFonts w:ascii="Arial" w:hAnsi="Arial" w:cs="Arial"/>
          <w:i/>
          <w:sz w:val="21"/>
          <w:szCs w:val="21"/>
          <w:lang w:bidi="hi-IN"/>
        </w:rPr>
        <w:lastRenderedPageBreak/>
        <w:t>forniture in attuazione delle direttive 2004/17/CE e 2004/18/CE</w:t>
      </w:r>
      <w:r>
        <w:rPr>
          <w:rFonts w:ascii="Arial" w:hAnsi="Arial" w:cs="Arial"/>
          <w:sz w:val="21"/>
          <w:szCs w:val="21"/>
          <w:lang w:bidi="hi-IN"/>
        </w:rPr>
        <w:t>”.</w:t>
      </w:r>
    </w:p>
    <w:p w:rsidR="00582DE2" w:rsidRDefault="00582DE2" w:rsidP="00582DE2">
      <w:pPr>
        <w:pStyle w:val="Standard"/>
        <w:widowControl w:val="0"/>
        <w:numPr>
          <w:ilvl w:val="0"/>
          <w:numId w:val="21"/>
        </w:numPr>
        <w:spacing w:after="0" w:line="240" w:lineRule="auto"/>
        <w:jc w:val="both"/>
      </w:pPr>
      <w:r>
        <w:rPr>
          <w:rFonts w:ascii="Arial" w:hAnsi="Arial" w:cs="Arial"/>
          <w:sz w:val="21"/>
          <w:szCs w:val="21"/>
          <w:lang w:bidi="hi-IN"/>
        </w:rPr>
        <w:t>D. Lgs.  07.03.2005 n. 82  ss. mm. “</w:t>
      </w:r>
      <w:r>
        <w:rPr>
          <w:rFonts w:ascii="Arial" w:hAnsi="Arial" w:cs="Arial"/>
          <w:i/>
          <w:sz w:val="21"/>
          <w:szCs w:val="21"/>
          <w:lang w:bidi="hi-IN"/>
        </w:rPr>
        <w:t>Codice dell’amministrazione digitale</w:t>
      </w:r>
      <w:r>
        <w:rPr>
          <w:rFonts w:ascii="Arial" w:hAnsi="Arial" w:cs="Arial"/>
          <w:sz w:val="21"/>
          <w:szCs w:val="21"/>
          <w:lang w:bidi="hi-IN"/>
        </w:rPr>
        <w:t>”.</w:t>
      </w:r>
    </w:p>
    <w:p w:rsidR="00582DE2" w:rsidRDefault="00582DE2" w:rsidP="00582DE2">
      <w:pPr>
        <w:pStyle w:val="Standard"/>
        <w:widowControl w:val="0"/>
        <w:numPr>
          <w:ilvl w:val="0"/>
          <w:numId w:val="21"/>
        </w:numPr>
        <w:spacing w:after="0" w:line="240" w:lineRule="auto"/>
        <w:jc w:val="both"/>
      </w:pPr>
      <w:r>
        <w:rPr>
          <w:rFonts w:ascii="Arial" w:hAnsi="Arial" w:cs="Arial"/>
          <w:sz w:val="21"/>
          <w:szCs w:val="21"/>
          <w:lang w:bidi="hi-IN"/>
        </w:rPr>
        <w:t>D. Lgs. 30.06.2003 n. 196 “</w:t>
      </w:r>
      <w:r>
        <w:rPr>
          <w:rFonts w:ascii="Arial" w:hAnsi="Arial" w:cs="Arial"/>
          <w:i/>
          <w:sz w:val="21"/>
          <w:szCs w:val="21"/>
          <w:lang w:bidi="hi-IN"/>
        </w:rPr>
        <w:t>Codice in materia di protezione dei dati personali</w:t>
      </w:r>
      <w:r>
        <w:rPr>
          <w:rFonts w:ascii="Arial" w:hAnsi="Arial" w:cs="Arial"/>
          <w:sz w:val="21"/>
          <w:szCs w:val="21"/>
          <w:lang w:bidi="hi-IN"/>
        </w:rPr>
        <w:t>”.</w:t>
      </w:r>
    </w:p>
    <w:p w:rsidR="00582DE2" w:rsidRDefault="00582DE2" w:rsidP="00582DE2">
      <w:pPr>
        <w:pStyle w:val="Standard"/>
        <w:widowControl w:val="0"/>
        <w:numPr>
          <w:ilvl w:val="0"/>
          <w:numId w:val="21"/>
        </w:numPr>
        <w:spacing w:after="0" w:line="240" w:lineRule="auto"/>
        <w:jc w:val="both"/>
      </w:pPr>
      <w:r>
        <w:rPr>
          <w:rFonts w:ascii="Arial" w:hAnsi="Arial" w:cs="Arial"/>
          <w:sz w:val="21"/>
          <w:szCs w:val="21"/>
          <w:lang w:bidi="hi-IN"/>
        </w:rPr>
        <w:t>D. Lgs. 30.03.2001 n. 165 “</w:t>
      </w:r>
      <w:r>
        <w:rPr>
          <w:rFonts w:ascii="Arial" w:hAnsi="Arial" w:cs="Arial"/>
          <w:i/>
          <w:sz w:val="21"/>
          <w:szCs w:val="21"/>
          <w:lang w:bidi="hi-IN"/>
        </w:rPr>
        <w:t>Norme generali sull’ordinamento del lavoro alle dipendenze delle amministrazioni pubbliche</w:t>
      </w:r>
      <w:r>
        <w:rPr>
          <w:rFonts w:ascii="Arial" w:hAnsi="Arial" w:cs="Arial"/>
          <w:sz w:val="21"/>
          <w:szCs w:val="21"/>
          <w:lang w:bidi="hi-IN"/>
        </w:rPr>
        <w:t>”.</w:t>
      </w:r>
    </w:p>
    <w:p w:rsidR="00582DE2" w:rsidRDefault="00582DE2" w:rsidP="00582DE2">
      <w:pPr>
        <w:pStyle w:val="Standard"/>
        <w:widowControl w:val="0"/>
        <w:numPr>
          <w:ilvl w:val="0"/>
          <w:numId w:val="21"/>
        </w:numPr>
        <w:spacing w:after="0" w:line="240" w:lineRule="auto"/>
        <w:jc w:val="both"/>
      </w:pPr>
      <w:r>
        <w:rPr>
          <w:rFonts w:ascii="Arial" w:hAnsi="Arial" w:cs="Arial"/>
          <w:sz w:val="21"/>
          <w:szCs w:val="21"/>
          <w:lang w:bidi="hi-IN"/>
        </w:rPr>
        <w:t>D.P.R. 16.04.2013 n. 62 “</w:t>
      </w:r>
      <w:r>
        <w:rPr>
          <w:rFonts w:ascii="Arial" w:hAnsi="Arial" w:cs="Arial"/>
          <w:i/>
          <w:sz w:val="21"/>
          <w:szCs w:val="21"/>
          <w:lang w:bidi="hi-IN"/>
        </w:rPr>
        <w:t>Regolamento recante codice di comportamento dei dipendenti pubblici, a norma dell'articolo 54 del decreto legislativo 30 marzo 2001, n. 165</w:t>
      </w:r>
      <w:r>
        <w:rPr>
          <w:rFonts w:ascii="Arial" w:hAnsi="Arial" w:cs="Arial"/>
          <w:sz w:val="21"/>
          <w:szCs w:val="21"/>
          <w:lang w:bidi="hi-IN"/>
        </w:rPr>
        <w:t>”.</w:t>
      </w:r>
    </w:p>
    <w:p w:rsidR="00582DE2" w:rsidRDefault="00582DE2" w:rsidP="00582DE2">
      <w:pPr>
        <w:pStyle w:val="Standard"/>
        <w:widowControl w:val="0"/>
        <w:numPr>
          <w:ilvl w:val="0"/>
          <w:numId w:val="21"/>
        </w:numPr>
        <w:spacing w:after="0" w:line="240" w:lineRule="auto"/>
        <w:jc w:val="both"/>
        <w:rPr>
          <w:rFonts w:ascii="Arial" w:hAnsi="Arial" w:cs="Arial"/>
          <w:sz w:val="21"/>
          <w:szCs w:val="21"/>
          <w:lang w:bidi="hi-IN"/>
        </w:rPr>
      </w:pPr>
      <w:r>
        <w:rPr>
          <w:rFonts w:ascii="Arial" w:hAnsi="Arial" w:cs="Arial"/>
          <w:sz w:val="21"/>
          <w:szCs w:val="21"/>
          <w:lang w:bidi="hi-IN"/>
        </w:rPr>
        <w:t>D.P.R. 23.04.2004 n. 108 “Regolamento recante disciplina per l’istituzione, l’organizzazione ed il funzionamento del ruolo dei dirigenti presso le amministrazioni dello Stato, anche ad ordinamento autonomo”.</w:t>
      </w:r>
    </w:p>
    <w:p w:rsidR="00582DE2" w:rsidRDefault="00582DE2" w:rsidP="00582DE2">
      <w:pPr>
        <w:pStyle w:val="Standard"/>
        <w:widowControl w:val="0"/>
        <w:numPr>
          <w:ilvl w:val="0"/>
          <w:numId w:val="21"/>
        </w:numPr>
        <w:spacing w:after="0" w:line="240" w:lineRule="auto"/>
        <w:jc w:val="both"/>
      </w:pPr>
      <w:r>
        <w:rPr>
          <w:rFonts w:ascii="Arial" w:hAnsi="Arial" w:cs="Arial"/>
          <w:sz w:val="21"/>
          <w:szCs w:val="21"/>
          <w:lang w:bidi="hi-IN"/>
        </w:rPr>
        <w:t>D.P.R. 07.04.2000 n. 118 “</w:t>
      </w:r>
      <w:r>
        <w:rPr>
          <w:rFonts w:ascii="Arial" w:hAnsi="Arial" w:cs="Arial"/>
          <w:i/>
          <w:sz w:val="21"/>
          <w:szCs w:val="21"/>
          <w:lang w:bidi="hi-IN"/>
        </w:rPr>
        <w:t>Regolamento recante norme per la semplificazione del procedimento per la disciplina degli albi dei beneficiari di provvidenze di natura economica, a norma dell’articolo 20, comma 8, della legge 15 marzo 1997, n. 59</w:t>
      </w:r>
      <w:r>
        <w:rPr>
          <w:rFonts w:ascii="Arial" w:hAnsi="Arial" w:cs="Arial"/>
          <w:sz w:val="21"/>
          <w:szCs w:val="21"/>
          <w:lang w:bidi="hi-IN"/>
        </w:rPr>
        <w:t>”.</w:t>
      </w:r>
    </w:p>
    <w:p w:rsidR="00582DE2" w:rsidRDefault="00582DE2" w:rsidP="00582DE2">
      <w:pPr>
        <w:pStyle w:val="Standard"/>
        <w:widowControl w:val="0"/>
        <w:numPr>
          <w:ilvl w:val="0"/>
          <w:numId w:val="21"/>
        </w:numPr>
        <w:spacing w:after="0" w:line="240" w:lineRule="auto"/>
        <w:jc w:val="both"/>
        <w:rPr>
          <w:rFonts w:ascii="Arial" w:hAnsi="Arial" w:cs="Arial"/>
          <w:sz w:val="21"/>
          <w:szCs w:val="21"/>
          <w:lang w:bidi="hi-IN"/>
        </w:rPr>
      </w:pPr>
      <w:r>
        <w:rPr>
          <w:rFonts w:ascii="Arial" w:hAnsi="Arial" w:cs="Arial"/>
          <w:sz w:val="21"/>
          <w:szCs w:val="21"/>
          <w:lang w:bidi="hi-IN"/>
        </w:rPr>
        <w:t>Decreto del Presidente della Regione 13 aprile 2006, n. 4/L, recante Approvazione del regolamento di esecuzione concernente la contabilità delle aziende pubbliche di servizi alla persona ai sensi del Titolo III della legge regionale 21 settembre 2005, n. 7, relativa a «Nuovo ordinamento delle istituzioni pubbliche di assistenza e beneficenza - aziende pubbliche di servizi alla persona»</w:t>
      </w:r>
    </w:p>
    <w:p w:rsidR="00582DE2" w:rsidRDefault="00582DE2" w:rsidP="00582DE2">
      <w:pPr>
        <w:pStyle w:val="Standard"/>
        <w:widowControl w:val="0"/>
        <w:numPr>
          <w:ilvl w:val="0"/>
          <w:numId w:val="21"/>
        </w:numPr>
        <w:spacing w:after="0" w:line="240" w:lineRule="auto"/>
        <w:jc w:val="both"/>
        <w:rPr>
          <w:rFonts w:ascii="Arial" w:hAnsi="Arial" w:cs="Arial"/>
          <w:sz w:val="21"/>
          <w:szCs w:val="21"/>
          <w:lang w:bidi="hi-IN"/>
        </w:rPr>
      </w:pPr>
      <w:r>
        <w:rPr>
          <w:rFonts w:ascii="Arial" w:hAnsi="Arial" w:cs="Arial"/>
          <w:sz w:val="21"/>
          <w:szCs w:val="21"/>
          <w:lang w:bidi="hi-IN"/>
        </w:rPr>
        <w:t>Decreto del Presidente della Regione 17 ottobre 2006, n. 12/L, recante Approvazione del regolamento di esecuzione della legge regionale 21 settembre 2005, n. 7, relativo alla organizzazione generale, all’ordinamento del personale e alla disciplina contrattuale delle aziende pubbliche di servizi alla persona</w:t>
      </w:r>
    </w:p>
    <w:p w:rsidR="00582DE2" w:rsidRDefault="00582DE2" w:rsidP="00582DE2">
      <w:pPr>
        <w:pStyle w:val="Standard"/>
        <w:widowControl w:val="0"/>
        <w:numPr>
          <w:ilvl w:val="0"/>
          <w:numId w:val="21"/>
        </w:numPr>
        <w:spacing w:after="0" w:line="240" w:lineRule="auto"/>
        <w:jc w:val="both"/>
        <w:rPr>
          <w:rFonts w:ascii="Arial" w:hAnsi="Arial" w:cs="Arial"/>
          <w:sz w:val="21"/>
          <w:szCs w:val="21"/>
          <w:lang w:bidi="hi-IN"/>
        </w:rPr>
      </w:pPr>
      <w:r>
        <w:rPr>
          <w:rFonts w:ascii="Arial" w:hAnsi="Arial" w:cs="Arial"/>
          <w:sz w:val="21"/>
          <w:szCs w:val="21"/>
          <w:lang w:bidi="hi-IN"/>
        </w:rPr>
        <w:t>Codice etico funzione pubblica di data 28.11.2000.</w:t>
      </w:r>
    </w:p>
    <w:p w:rsidR="00582DE2" w:rsidRDefault="00582DE2" w:rsidP="00582DE2">
      <w:pPr>
        <w:pStyle w:val="Standard"/>
        <w:widowControl w:val="0"/>
        <w:numPr>
          <w:ilvl w:val="0"/>
          <w:numId w:val="21"/>
        </w:numPr>
        <w:spacing w:after="0" w:line="240" w:lineRule="auto"/>
        <w:jc w:val="both"/>
      </w:pPr>
      <w:r>
        <w:rPr>
          <w:rFonts w:ascii="Arial" w:hAnsi="Arial" w:cs="Arial"/>
          <w:sz w:val="21"/>
          <w:szCs w:val="21"/>
          <w:lang w:bidi="hi-IN"/>
        </w:rPr>
        <w:t>Codice etico per gli amministratori locali – “</w:t>
      </w:r>
      <w:r>
        <w:rPr>
          <w:rFonts w:ascii="Arial" w:hAnsi="Arial" w:cs="Arial"/>
          <w:i/>
          <w:sz w:val="21"/>
          <w:szCs w:val="21"/>
          <w:lang w:bidi="hi-IN"/>
        </w:rPr>
        <w:t>Carta di Pisa</w:t>
      </w:r>
      <w:r>
        <w:rPr>
          <w:rFonts w:ascii="Arial" w:hAnsi="Arial" w:cs="Arial"/>
          <w:sz w:val="21"/>
          <w:szCs w:val="21"/>
          <w:lang w:bidi="hi-IN"/>
        </w:rPr>
        <w:t>”.</w:t>
      </w:r>
    </w:p>
    <w:p w:rsidR="00582DE2" w:rsidRDefault="00582DE2" w:rsidP="00582DE2">
      <w:pPr>
        <w:pStyle w:val="Standard"/>
        <w:widowControl w:val="0"/>
        <w:numPr>
          <w:ilvl w:val="0"/>
          <w:numId w:val="47"/>
        </w:numPr>
        <w:spacing w:after="0" w:line="240" w:lineRule="auto"/>
        <w:jc w:val="both"/>
        <w:rPr>
          <w:rFonts w:ascii="Arial" w:hAnsi="Arial" w:cs="Arial"/>
          <w:sz w:val="21"/>
          <w:szCs w:val="21"/>
          <w:lang w:bidi="hi-IN"/>
        </w:rPr>
      </w:pPr>
      <w:r>
        <w:rPr>
          <w:rFonts w:ascii="Arial" w:hAnsi="Arial" w:cs="Arial"/>
          <w:sz w:val="21"/>
          <w:szCs w:val="21"/>
          <w:lang w:bidi="hi-IN"/>
        </w:rPr>
        <w:t>Convenzione dell’O.N.U. contro la corruzione, adottata dall’Assemblea Generale dell’Organizzazione in data 31.10.2003 con la risoluzione n. 58/4, sottoscritta dallo Stato italiano in data 09.12.2003 e ratificata con la L.  03.08.2009 n. 116.</w:t>
      </w:r>
    </w:p>
    <w:p w:rsidR="00582DE2" w:rsidRDefault="00582DE2" w:rsidP="00582DE2">
      <w:pPr>
        <w:pStyle w:val="Standard"/>
        <w:widowControl w:val="0"/>
        <w:numPr>
          <w:ilvl w:val="0"/>
          <w:numId w:val="28"/>
        </w:numPr>
        <w:spacing w:after="0" w:line="240" w:lineRule="auto"/>
        <w:jc w:val="both"/>
        <w:rPr>
          <w:rFonts w:ascii="Arial" w:hAnsi="Arial" w:cs="Arial"/>
          <w:sz w:val="21"/>
          <w:szCs w:val="21"/>
          <w:lang w:bidi="hi-IN"/>
        </w:rPr>
      </w:pPr>
      <w:r>
        <w:rPr>
          <w:rFonts w:ascii="Arial" w:hAnsi="Arial" w:cs="Arial"/>
          <w:sz w:val="21"/>
          <w:szCs w:val="21"/>
          <w:lang w:bidi="hi-IN"/>
        </w:rPr>
        <w:t>Intesa di data 24.07.2013 in sede di Conferenza Unificata tra Governo ed Enti Locali, attuativa della L. 06.11.2012 n. 190 (art. 1, commi 60 e 61).</w:t>
      </w:r>
    </w:p>
    <w:p w:rsidR="00582DE2" w:rsidRDefault="00582DE2" w:rsidP="00582DE2">
      <w:pPr>
        <w:pStyle w:val="Standard"/>
        <w:widowControl w:val="0"/>
        <w:numPr>
          <w:ilvl w:val="0"/>
          <w:numId w:val="28"/>
        </w:numPr>
        <w:spacing w:after="0" w:line="240" w:lineRule="auto"/>
        <w:jc w:val="both"/>
        <w:rPr>
          <w:rFonts w:ascii="Arial" w:hAnsi="Arial" w:cs="Arial"/>
          <w:sz w:val="21"/>
          <w:szCs w:val="21"/>
          <w:lang w:bidi="hi-IN"/>
        </w:rPr>
      </w:pPr>
      <w:r>
        <w:rPr>
          <w:rFonts w:ascii="Arial" w:hAnsi="Arial" w:cs="Arial"/>
          <w:sz w:val="21"/>
          <w:szCs w:val="21"/>
          <w:lang w:bidi="hi-IN"/>
        </w:rPr>
        <w:t>Piano nazionale anticorruzione 2013 predisposto dal Dipartimento della Funzione Pubblica, ai sensi della L. 06.11.2012 n. 190, e approvato dalla CIVIT in data 11.09.2013.</w:t>
      </w:r>
    </w:p>
    <w:p w:rsidR="00582DE2" w:rsidRDefault="00582DE2" w:rsidP="00582DE2">
      <w:pPr>
        <w:pStyle w:val="Standard"/>
        <w:widowControl w:val="0"/>
        <w:numPr>
          <w:ilvl w:val="0"/>
          <w:numId w:val="28"/>
        </w:numPr>
        <w:spacing w:after="0" w:line="240" w:lineRule="auto"/>
        <w:jc w:val="both"/>
        <w:rPr>
          <w:rFonts w:ascii="Arial" w:hAnsi="Arial" w:cs="Arial"/>
          <w:sz w:val="21"/>
          <w:szCs w:val="21"/>
          <w:lang w:bidi="hi-IN"/>
        </w:rPr>
      </w:pPr>
      <w:r>
        <w:rPr>
          <w:rFonts w:ascii="Arial" w:hAnsi="Arial" w:cs="Arial"/>
          <w:sz w:val="21"/>
          <w:szCs w:val="21"/>
          <w:lang w:bidi="hi-IN"/>
        </w:rPr>
        <w:t>Aggiornamento 2015 al Piano Nazionale Anticorruzione, Determinazione ANAC n. 12 del 28 ottobre 2015</w:t>
      </w:r>
    </w:p>
    <w:p w:rsidR="00582DE2" w:rsidRDefault="00582DE2" w:rsidP="00582DE2">
      <w:pPr>
        <w:pStyle w:val="Standard"/>
        <w:widowControl w:val="0"/>
        <w:numPr>
          <w:ilvl w:val="0"/>
          <w:numId w:val="28"/>
        </w:numPr>
        <w:spacing w:after="0" w:line="240" w:lineRule="auto"/>
        <w:jc w:val="both"/>
        <w:rPr>
          <w:rFonts w:ascii="Arial" w:hAnsi="Arial" w:cs="Arial"/>
          <w:sz w:val="21"/>
          <w:szCs w:val="21"/>
          <w:lang w:bidi="hi-IN"/>
        </w:rPr>
      </w:pPr>
      <w:r>
        <w:rPr>
          <w:rFonts w:ascii="Arial" w:hAnsi="Arial" w:cs="Arial"/>
          <w:sz w:val="21"/>
          <w:szCs w:val="21"/>
          <w:lang w:bidi="hi-IN"/>
        </w:rPr>
        <w:t>Piano nazionale anticorruzione 2016, predisposto da ANAC ai sensi della L. 06.11.2012 n. 190, Delibera ANAC n.</w:t>
      </w:r>
      <w:r w:rsidR="006F4CFE">
        <w:rPr>
          <w:rFonts w:ascii="Arial" w:hAnsi="Arial" w:cs="Arial"/>
          <w:sz w:val="21"/>
          <w:szCs w:val="21"/>
          <w:lang w:bidi="hi-IN"/>
        </w:rPr>
        <w:t xml:space="preserve"> </w:t>
      </w:r>
      <w:r>
        <w:rPr>
          <w:rFonts w:ascii="Arial" w:hAnsi="Arial" w:cs="Arial"/>
          <w:sz w:val="21"/>
          <w:szCs w:val="21"/>
          <w:lang w:bidi="hi-IN"/>
        </w:rPr>
        <w:t>831 del 3 agosto 2016</w:t>
      </w:r>
    </w:p>
    <w:p w:rsidR="00582DE2" w:rsidRDefault="00582DE2" w:rsidP="00582DE2">
      <w:pPr>
        <w:pStyle w:val="Standard"/>
        <w:widowControl w:val="0"/>
        <w:numPr>
          <w:ilvl w:val="0"/>
          <w:numId w:val="28"/>
        </w:numPr>
        <w:spacing w:after="0" w:line="240" w:lineRule="auto"/>
        <w:jc w:val="both"/>
        <w:rPr>
          <w:rFonts w:ascii="Arial" w:hAnsi="Arial" w:cs="Arial"/>
          <w:sz w:val="21"/>
          <w:szCs w:val="21"/>
          <w:lang w:bidi="hi-IN"/>
        </w:rPr>
      </w:pPr>
      <w:r>
        <w:rPr>
          <w:rFonts w:ascii="Arial" w:hAnsi="Arial" w:cs="Arial"/>
          <w:sz w:val="21"/>
          <w:szCs w:val="21"/>
          <w:lang w:bidi="hi-IN"/>
        </w:rPr>
        <w:t>Piano nazionale anticorruzione 2017, predisposto da ANAC ai sensi della L. 06.11.2012 n. 190, Delibera ANAC n.1208 del 3 agosto 2016;</w:t>
      </w:r>
    </w:p>
    <w:p w:rsidR="00582DE2" w:rsidRDefault="00582DE2" w:rsidP="00582DE2">
      <w:pPr>
        <w:pStyle w:val="Standard"/>
        <w:widowControl w:val="0"/>
        <w:numPr>
          <w:ilvl w:val="0"/>
          <w:numId w:val="28"/>
        </w:numPr>
        <w:spacing w:after="0" w:line="240" w:lineRule="auto"/>
        <w:jc w:val="both"/>
      </w:pPr>
      <w:r>
        <w:rPr>
          <w:rFonts w:ascii="Arial" w:hAnsi="Arial" w:cs="Arial"/>
          <w:sz w:val="21"/>
          <w:szCs w:val="21"/>
          <w:lang w:bidi="hi-IN"/>
        </w:rPr>
        <w:t>Delibera ANAC n. 1134 dell’8 novembre 2017</w:t>
      </w:r>
      <w:r>
        <w:rPr>
          <w:rFonts w:ascii="Arial" w:hAnsi="Arial" w:cs="Arial"/>
          <w:color w:val="0000CC"/>
          <w:sz w:val="21"/>
          <w:szCs w:val="21"/>
          <w:lang w:bidi="hi-IN"/>
        </w:rPr>
        <w:t>;</w:t>
      </w:r>
    </w:p>
    <w:p w:rsidR="00582DE2" w:rsidRDefault="00582DE2" w:rsidP="00582DE2">
      <w:pPr>
        <w:pStyle w:val="Standard"/>
        <w:widowControl w:val="0"/>
        <w:numPr>
          <w:ilvl w:val="0"/>
          <w:numId w:val="28"/>
        </w:numPr>
        <w:spacing w:after="0" w:line="240" w:lineRule="auto"/>
        <w:jc w:val="both"/>
        <w:rPr>
          <w:rFonts w:ascii="Arial" w:hAnsi="Arial" w:cs="Arial"/>
          <w:sz w:val="21"/>
          <w:szCs w:val="21"/>
          <w:lang w:bidi="hi-IN"/>
        </w:rPr>
      </w:pPr>
      <w:r>
        <w:rPr>
          <w:rFonts w:ascii="Arial" w:hAnsi="Arial" w:cs="Arial"/>
          <w:sz w:val="21"/>
          <w:szCs w:val="21"/>
          <w:lang w:bidi="hi-IN"/>
        </w:rPr>
        <w:t>Circolari n. 1 di data 25.01.2013 e n. 2 di data 29.07.2013 della Presidenza del Consiglio dei Ministri – Dipartimento della Funzione Pubblica.</w:t>
      </w:r>
    </w:p>
    <w:p w:rsidR="00582DE2" w:rsidRDefault="00582DE2" w:rsidP="00582DE2">
      <w:pPr>
        <w:pStyle w:val="Standard"/>
        <w:widowControl w:val="0"/>
        <w:numPr>
          <w:ilvl w:val="0"/>
          <w:numId w:val="28"/>
        </w:numPr>
        <w:spacing w:after="0" w:line="240" w:lineRule="auto"/>
        <w:jc w:val="both"/>
        <w:rPr>
          <w:rFonts w:ascii="Arial" w:hAnsi="Arial" w:cs="Arial"/>
          <w:sz w:val="21"/>
          <w:szCs w:val="21"/>
          <w:lang w:bidi="hi-IN"/>
        </w:rPr>
      </w:pPr>
      <w:r>
        <w:rPr>
          <w:rFonts w:ascii="Arial" w:hAnsi="Arial" w:cs="Arial"/>
          <w:sz w:val="21"/>
          <w:szCs w:val="21"/>
          <w:lang w:bidi="hi-IN"/>
        </w:rPr>
        <w:t>Linee di indirizzo del Comitato interministeriale (D.P.C.M. 16.01.2013) per la predisposizione, da parte del Dipartimento della Funzione Pubblica, del Piano nazionale anticorruzione di cui alla L. 06.11.2012 n. 190.</w:t>
      </w:r>
    </w:p>
    <w:p w:rsidR="00582DE2" w:rsidRDefault="00582DE2" w:rsidP="00582DE2">
      <w:pPr>
        <w:pStyle w:val="Standard"/>
        <w:widowControl w:val="0"/>
        <w:numPr>
          <w:ilvl w:val="0"/>
          <w:numId w:val="28"/>
        </w:numPr>
        <w:spacing w:after="0" w:line="240" w:lineRule="auto"/>
        <w:jc w:val="both"/>
        <w:rPr>
          <w:rFonts w:ascii="Arial" w:hAnsi="Arial" w:cs="Arial"/>
          <w:sz w:val="21"/>
          <w:szCs w:val="21"/>
          <w:lang w:bidi="hi-IN"/>
        </w:rPr>
      </w:pPr>
      <w:r>
        <w:rPr>
          <w:rFonts w:ascii="Arial" w:hAnsi="Arial" w:cs="Arial"/>
          <w:sz w:val="21"/>
          <w:szCs w:val="21"/>
          <w:lang w:bidi="hi-IN"/>
        </w:rPr>
        <w:t>D.P.C.M. 18.04.2013 attinente le modalità per l'istituzione e l'aggiornamento degli elenchi dei fornitori, prestatori di servizi ed esecutori non soggetti a tentativo di infiltrazione mafiosa, di cui all'art. 1, comma 52, della L. 06.11.2012 n. 190.</w:t>
      </w:r>
    </w:p>
    <w:p w:rsidR="00582DE2" w:rsidRDefault="00582DE2" w:rsidP="00582DE2">
      <w:pPr>
        <w:pStyle w:val="Standard"/>
        <w:widowControl w:val="0"/>
        <w:numPr>
          <w:ilvl w:val="0"/>
          <w:numId w:val="28"/>
        </w:numPr>
        <w:spacing w:after="0" w:line="240" w:lineRule="auto"/>
        <w:jc w:val="both"/>
        <w:rPr>
          <w:rFonts w:ascii="Arial" w:hAnsi="Arial" w:cs="Arial"/>
          <w:sz w:val="21"/>
          <w:szCs w:val="21"/>
          <w:lang w:bidi="hi-IN"/>
        </w:rPr>
      </w:pPr>
      <w:r>
        <w:rPr>
          <w:rFonts w:ascii="Arial" w:hAnsi="Arial" w:cs="Arial"/>
          <w:sz w:val="21"/>
          <w:szCs w:val="21"/>
          <w:lang w:bidi="hi-IN"/>
        </w:rPr>
        <w:t>Delibera CIVIT n. 72/2013 con cui è stato approvato il Piano nazionale anticorruzione predisposto dal Dipartimento della Funzione Pubblica.</w:t>
      </w:r>
    </w:p>
    <w:p w:rsidR="00582DE2" w:rsidRDefault="00582DE2" w:rsidP="00582DE2">
      <w:pPr>
        <w:pStyle w:val="Standard"/>
        <w:widowControl w:val="0"/>
        <w:numPr>
          <w:ilvl w:val="0"/>
          <w:numId w:val="28"/>
        </w:numPr>
        <w:spacing w:after="0" w:line="240" w:lineRule="auto"/>
        <w:jc w:val="both"/>
        <w:rPr>
          <w:rFonts w:ascii="Arial" w:hAnsi="Arial" w:cs="Arial"/>
          <w:sz w:val="21"/>
          <w:szCs w:val="21"/>
          <w:lang w:bidi="hi-IN"/>
        </w:rPr>
      </w:pPr>
      <w:r>
        <w:rPr>
          <w:rFonts w:ascii="Arial" w:hAnsi="Arial" w:cs="Arial"/>
          <w:sz w:val="21"/>
          <w:szCs w:val="21"/>
          <w:lang w:bidi="hi-IN"/>
        </w:rPr>
        <w:t>Delibera CIVIT n. 15/2013 in tema di organo competente a nominare il Responsabile della prevenzione della corruzione nei comuni.</w:t>
      </w:r>
    </w:p>
    <w:p w:rsidR="00582DE2" w:rsidRDefault="00582DE2" w:rsidP="00582DE2">
      <w:pPr>
        <w:pStyle w:val="Standard"/>
        <w:widowControl w:val="0"/>
        <w:numPr>
          <w:ilvl w:val="0"/>
          <w:numId w:val="28"/>
        </w:numPr>
        <w:spacing w:after="0" w:line="240" w:lineRule="auto"/>
        <w:jc w:val="both"/>
        <w:rPr>
          <w:rFonts w:ascii="Arial" w:hAnsi="Arial" w:cs="Arial"/>
          <w:sz w:val="21"/>
          <w:szCs w:val="21"/>
          <w:lang w:bidi="hi-IN"/>
        </w:rPr>
      </w:pPr>
      <w:r>
        <w:rPr>
          <w:rFonts w:ascii="Arial" w:hAnsi="Arial" w:cs="Arial"/>
          <w:sz w:val="21"/>
          <w:szCs w:val="21"/>
          <w:lang w:bidi="hi-IN"/>
        </w:rPr>
        <w:t>Delibera CIVIT n. 2/2012 “Linee guida per il miglioramento della predisposizione e dell’aggiornamento del Programma triennale per la trasparenza e l’integrità”.</w:t>
      </w:r>
    </w:p>
    <w:p w:rsidR="00582DE2" w:rsidRPr="00481D2E" w:rsidRDefault="00582DE2" w:rsidP="00582DE2">
      <w:pPr>
        <w:pStyle w:val="Standard"/>
        <w:widowControl w:val="0"/>
        <w:numPr>
          <w:ilvl w:val="0"/>
          <w:numId w:val="28"/>
        </w:numPr>
        <w:spacing w:after="0" w:line="240" w:lineRule="auto"/>
        <w:jc w:val="both"/>
      </w:pPr>
      <w:r>
        <w:rPr>
          <w:rFonts w:ascii="Arial" w:hAnsi="Arial" w:cs="Arial"/>
          <w:sz w:val="21"/>
          <w:szCs w:val="21"/>
          <w:lang w:bidi="hi-IN"/>
        </w:rPr>
        <w:t>Delibera CIVIT n. 105/2010 “Linee guida per la predisposizione del Programma triennale per la trasparenza e l’integrità (art. 13, comma 6, lettera e, del decreto legislativo 27 ottobre 2009, n.</w:t>
      </w:r>
      <w:r w:rsidR="006F4CFE">
        <w:rPr>
          <w:rFonts w:ascii="Arial" w:hAnsi="Arial" w:cs="Arial"/>
          <w:sz w:val="21"/>
          <w:szCs w:val="21"/>
          <w:lang w:bidi="hi-IN"/>
        </w:rPr>
        <w:t xml:space="preserve"> </w:t>
      </w:r>
      <w:r>
        <w:rPr>
          <w:rFonts w:ascii="Arial" w:hAnsi="Arial" w:cs="Arial"/>
          <w:sz w:val="21"/>
          <w:szCs w:val="21"/>
          <w:lang w:bidi="hi-IN"/>
        </w:rPr>
        <w:t>150</w:t>
      </w:r>
    </w:p>
    <w:p w:rsidR="00FA7ADE" w:rsidRDefault="00FA7ADE" w:rsidP="00FA7ADE">
      <w:pPr>
        <w:pStyle w:val="Standard"/>
        <w:numPr>
          <w:ilvl w:val="0"/>
          <w:numId w:val="28"/>
        </w:numPr>
        <w:spacing w:before="100" w:after="0" w:line="240" w:lineRule="auto"/>
        <w:jc w:val="both"/>
        <w:textAlignment w:val="auto"/>
        <w:rPr>
          <w:sz w:val="24"/>
          <w:szCs w:val="24"/>
        </w:rPr>
      </w:pPr>
      <w:r>
        <w:rPr>
          <w:rFonts w:ascii="Arial" w:eastAsia="Calibri" w:hAnsi="Arial" w:cs="Arial"/>
          <w:sz w:val="21"/>
          <w:szCs w:val="21"/>
          <w:lang w:eastAsia="en-US"/>
        </w:rPr>
        <w:t xml:space="preserve">il D.L. 80/2021 convertito, con modificazioni, in Legge 6 agosto 2021 n.113  </w:t>
      </w:r>
    </w:p>
    <w:p w:rsidR="00FA7ADE" w:rsidRDefault="00FA7ADE" w:rsidP="00FA7ADE">
      <w:pPr>
        <w:pStyle w:val="Standard"/>
        <w:numPr>
          <w:ilvl w:val="0"/>
          <w:numId w:val="28"/>
        </w:numPr>
        <w:spacing w:before="100" w:after="0" w:line="240" w:lineRule="auto"/>
        <w:ind w:left="709" w:hanging="349"/>
        <w:jc w:val="both"/>
        <w:textAlignment w:val="auto"/>
      </w:pPr>
      <w:r>
        <w:rPr>
          <w:rFonts w:ascii="Arial" w:eastAsia="Calibri" w:hAnsi="Arial" w:cs="Arial"/>
          <w:sz w:val="21"/>
          <w:szCs w:val="21"/>
          <w:lang w:eastAsia="en-US"/>
        </w:rPr>
        <w:lastRenderedPageBreak/>
        <w:t>il D.L. 80 prevede l’approvazione, entro 120 giorni dall’entrata in vigore, di uno o più D.P.R. di abrogazione degli adempimenti relativi ai piani assorbiti dal PIAO; ;</w:t>
      </w:r>
    </w:p>
    <w:p w:rsidR="00FA7ADE" w:rsidRDefault="00FA7ADE" w:rsidP="00FA7ADE">
      <w:pPr>
        <w:pStyle w:val="Standard"/>
        <w:numPr>
          <w:ilvl w:val="0"/>
          <w:numId w:val="28"/>
        </w:numPr>
        <w:spacing w:before="100" w:after="0" w:line="240" w:lineRule="auto"/>
        <w:ind w:left="0" w:firstLine="426"/>
        <w:jc w:val="both"/>
        <w:textAlignment w:val="auto"/>
      </w:pPr>
      <w:r>
        <w:rPr>
          <w:rFonts w:ascii="Arial" w:eastAsia="Calibri" w:hAnsi="Arial" w:cs="Arial"/>
          <w:sz w:val="21"/>
          <w:szCs w:val="21"/>
          <w:lang w:eastAsia="en-US"/>
        </w:rPr>
        <w:t>il D.L. 228 del 30/12/2021 “Disposizioni urgenti in materia di termini legislativi”</w:t>
      </w:r>
    </w:p>
    <w:p w:rsidR="00FA7ADE" w:rsidRDefault="00FA7ADE" w:rsidP="00FA7ADE">
      <w:pPr>
        <w:pStyle w:val="Standard"/>
        <w:numPr>
          <w:ilvl w:val="0"/>
          <w:numId w:val="28"/>
        </w:numPr>
        <w:spacing w:before="100" w:after="0" w:line="240" w:lineRule="auto"/>
        <w:ind w:left="709" w:hanging="349"/>
        <w:jc w:val="both"/>
        <w:textAlignment w:val="auto"/>
      </w:pPr>
      <w:r>
        <w:rPr>
          <w:rFonts w:ascii="Arial" w:eastAsia="Calibri" w:hAnsi="Arial" w:cs="Arial"/>
          <w:sz w:val="21"/>
          <w:szCs w:val="21"/>
          <w:lang w:eastAsia="en-US"/>
        </w:rPr>
        <w:t>Orientamenti per la pianificazione anticorruzione e trasparenza, approvati dal Consiglio dell’Autorità anticorruzione in data 2 febbraio 2022,</w:t>
      </w:r>
    </w:p>
    <w:p w:rsidR="00FA7ADE" w:rsidRDefault="00FA7ADE" w:rsidP="00FA7ADE">
      <w:pPr>
        <w:pStyle w:val="Standard"/>
        <w:spacing w:before="100"/>
        <w:jc w:val="both"/>
      </w:pPr>
      <w:r>
        <w:rPr>
          <w:rFonts w:ascii="Arial" w:eastAsia="Calibri" w:hAnsi="Arial" w:cs="Arial"/>
          <w:sz w:val="21"/>
          <w:szCs w:val="21"/>
          <w:lang w:eastAsia="en-US"/>
        </w:rPr>
        <w:tab/>
      </w:r>
    </w:p>
    <w:p w:rsidR="00481D2E" w:rsidRPr="00481D2E" w:rsidRDefault="00481D2E" w:rsidP="00FA7ADE">
      <w:pPr>
        <w:pStyle w:val="Standard"/>
        <w:widowControl w:val="0"/>
        <w:spacing w:after="0" w:line="240" w:lineRule="auto"/>
        <w:ind w:left="360"/>
        <w:jc w:val="both"/>
        <w:rPr>
          <w:highlight w:val="green"/>
        </w:rPr>
      </w:pPr>
    </w:p>
    <w:sectPr w:rsidR="00481D2E" w:rsidRPr="00481D2E">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E53" w:rsidRDefault="002B2E53" w:rsidP="00582DE2">
      <w:r>
        <w:separator/>
      </w:r>
    </w:p>
  </w:endnote>
  <w:endnote w:type="continuationSeparator" w:id="0">
    <w:p w:rsidR="002B2E53" w:rsidRDefault="002B2E53" w:rsidP="00582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arSymbol">
    <w:altName w:val="Times New Roman"/>
    <w:charset w:val="00"/>
    <w:family w:val="auto"/>
    <w:pitch w:val="default"/>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notTrueType/>
    <w:pitch w:val="variable"/>
    <w:sig w:usb0="00002000" w:usb1="00000000" w:usb2="00000000" w:usb3="00000000" w:csb0="00000000" w:csb1="00000000"/>
  </w:font>
  <w:font w:name="News Serif">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Roboto">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205" w:rsidRDefault="009E4205">
    <w:pPr>
      <w:pStyle w:val="Pidipagina"/>
      <w:jc w:val="right"/>
    </w:pPr>
    <w:r>
      <w:fldChar w:fldCharType="begin"/>
    </w:r>
    <w:r>
      <w:instrText xml:space="preserve"> PAGE </w:instrText>
    </w:r>
    <w:r>
      <w:fldChar w:fldCharType="separate"/>
    </w:r>
    <w:r w:rsidR="00BC1AFF">
      <w:rPr>
        <w:noProof/>
      </w:rPr>
      <w:t>1</w:t>
    </w:r>
    <w:r>
      <w:fldChar w:fldCharType="end"/>
    </w:r>
  </w:p>
  <w:p w:rsidR="009E4205" w:rsidRDefault="009E420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E53" w:rsidRDefault="002B2E53" w:rsidP="00582DE2">
      <w:r>
        <w:separator/>
      </w:r>
    </w:p>
  </w:footnote>
  <w:footnote w:type="continuationSeparator" w:id="0">
    <w:p w:rsidR="002B2E53" w:rsidRDefault="002B2E53" w:rsidP="00582DE2">
      <w:r>
        <w:continuationSeparator/>
      </w:r>
    </w:p>
  </w:footnote>
  <w:footnote w:id="1">
    <w:p w:rsidR="009E4205" w:rsidRDefault="009E4205" w:rsidP="00582DE2">
      <w:pPr>
        <w:pStyle w:val="Testonotaapidipagina"/>
      </w:pPr>
      <w:r>
        <w:rPr>
          <w:rStyle w:val="Rimandonotaapidipagina"/>
        </w:rPr>
        <w:footnoteRef/>
      </w:r>
      <w:r>
        <w:t xml:space="preserve"> </w:t>
      </w:r>
      <w:r>
        <w:rPr>
          <w:rFonts w:ascii="Roboto" w:hAnsi="Roboto"/>
          <w:sz w:val="15"/>
          <w:szCs w:val="15"/>
        </w:rPr>
        <w:t>La metodologia di valutazione del rischio utilizzata replica l’impostazione scelta da ANCI nel Quaderno n. 20, che, a sua volta, si basa sulle indicazioni contenute nella norma ISO 31000 “Gestione del rischio - Principi e linee guida” e nelle “Le linee guida per la valutazione del rischio di corruzione</w:t>
      </w:r>
    </w:p>
  </w:footnote>
  <w:footnote w:id="2">
    <w:p w:rsidR="009E4205" w:rsidRDefault="009E4205" w:rsidP="00582DE2">
      <w:pPr>
        <w:pStyle w:val="Testonotaapidipagina"/>
      </w:pPr>
      <w:r>
        <w:rPr>
          <w:rStyle w:val="Rimandonotaapidipagina"/>
        </w:rPr>
        <w:footnoteRef/>
      </w:r>
      <w:r>
        <w:t xml:space="preserve"> </w:t>
      </w:r>
      <w:r>
        <w:rPr>
          <w:rFonts w:ascii="Roboto" w:hAnsi="Roboto"/>
          <w:sz w:val="15"/>
          <w:szCs w:val="15"/>
        </w:rPr>
        <w:t>Cfr. tabella 5, pag. 44, Allegato 1 PNA 2019</w:t>
      </w:r>
    </w:p>
  </w:footnote>
  <w:footnote w:id="3">
    <w:p w:rsidR="009E4205" w:rsidRDefault="009E4205" w:rsidP="00582DE2">
      <w:pPr>
        <w:pStyle w:val="Testonotaapidipagina"/>
      </w:pPr>
      <w:r>
        <w:rPr>
          <w:rStyle w:val="Rimandonotaapidipagina"/>
        </w:rPr>
        <w:footnoteRef/>
      </w:r>
      <w:r>
        <w:t xml:space="preserve"> </w:t>
      </w:r>
      <w:r>
        <w:rPr>
          <w:rFonts w:ascii="Roboto" w:hAnsi="Roboto"/>
          <w:sz w:val="15"/>
          <w:szCs w:val="15"/>
        </w:rPr>
        <w:t>Cfr. Tabella 8 dell’Allegato 1 al PNA 2019.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5BC7"/>
    <w:multiLevelType w:val="multilevel"/>
    <w:tmpl w:val="328C8088"/>
    <w:styleLink w:val="WW8Num61"/>
    <w:lvl w:ilvl="0">
      <w:numFmt w:val="bullet"/>
      <w:lvlText w:val=""/>
      <w:lvlJc w:val="left"/>
      <w:pPr>
        <w:ind w:left="1069" w:hanging="360"/>
      </w:pPr>
      <w:rPr>
        <w:rFonts w:ascii="Wingdings" w:hAnsi="Wingdings" w:cs="Wingdings"/>
        <w:sz w:val="21"/>
        <w:szCs w:val="21"/>
      </w:rPr>
    </w:lvl>
    <w:lvl w:ilvl="1">
      <w:numFmt w:val="bullet"/>
      <w:lvlText w:val=""/>
      <w:lvlJc w:val="left"/>
      <w:pPr>
        <w:ind w:left="1429" w:hanging="360"/>
      </w:pPr>
      <w:rPr>
        <w:rFonts w:ascii="Wingdings" w:hAnsi="Wingdings" w:cs="Wingdings"/>
        <w:sz w:val="21"/>
        <w:szCs w:val="21"/>
      </w:rPr>
    </w:lvl>
    <w:lvl w:ilvl="2">
      <w:numFmt w:val="bullet"/>
      <w:lvlText w:val=""/>
      <w:lvlJc w:val="left"/>
      <w:pPr>
        <w:ind w:left="1789" w:hanging="360"/>
      </w:pPr>
      <w:rPr>
        <w:rFonts w:ascii="Wingdings" w:hAnsi="Wingdings" w:cs="Wingdings"/>
        <w:sz w:val="21"/>
        <w:szCs w:val="21"/>
      </w:rPr>
    </w:lvl>
    <w:lvl w:ilvl="3">
      <w:numFmt w:val="bullet"/>
      <w:lvlText w:val=""/>
      <w:lvlJc w:val="left"/>
      <w:pPr>
        <w:ind w:left="2149" w:hanging="360"/>
      </w:pPr>
      <w:rPr>
        <w:rFonts w:ascii="Symbol" w:hAnsi="Symbol" w:cs="Symbol"/>
      </w:rPr>
    </w:lvl>
    <w:lvl w:ilvl="4">
      <w:numFmt w:val="bullet"/>
      <w:lvlText w:val=""/>
      <w:lvlJc w:val="left"/>
      <w:pPr>
        <w:ind w:left="2509" w:hanging="360"/>
      </w:pPr>
      <w:rPr>
        <w:rFonts w:ascii="Symbol" w:hAnsi="Symbol" w:cs="Symbol"/>
      </w:rPr>
    </w:lvl>
    <w:lvl w:ilvl="5">
      <w:numFmt w:val="bullet"/>
      <w:lvlText w:val=""/>
      <w:lvlJc w:val="left"/>
      <w:pPr>
        <w:ind w:left="2869" w:hanging="360"/>
      </w:pPr>
      <w:rPr>
        <w:rFonts w:ascii="Wingdings" w:hAnsi="Wingdings" w:cs="Wingdings"/>
        <w:sz w:val="21"/>
        <w:szCs w:val="21"/>
      </w:rPr>
    </w:lvl>
    <w:lvl w:ilvl="6">
      <w:numFmt w:val="bullet"/>
      <w:lvlText w:val=""/>
      <w:lvlJc w:val="left"/>
      <w:pPr>
        <w:ind w:left="3229" w:hanging="360"/>
      </w:pPr>
      <w:rPr>
        <w:rFonts w:ascii="Wingdings" w:hAnsi="Wingdings" w:cs="Wingdings"/>
        <w:sz w:val="21"/>
        <w:szCs w:val="21"/>
      </w:rPr>
    </w:lvl>
    <w:lvl w:ilvl="7">
      <w:numFmt w:val="bullet"/>
      <w:lvlText w:val=""/>
      <w:lvlJc w:val="left"/>
      <w:pPr>
        <w:ind w:left="3589" w:hanging="360"/>
      </w:pPr>
      <w:rPr>
        <w:rFonts w:ascii="Symbol" w:hAnsi="Symbol" w:cs="Symbol"/>
      </w:rPr>
    </w:lvl>
    <w:lvl w:ilvl="8">
      <w:numFmt w:val="bullet"/>
      <w:lvlText w:val=""/>
      <w:lvlJc w:val="left"/>
      <w:pPr>
        <w:ind w:left="3949" w:hanging="360"/>
      </w:pPr>
      <w:rPr>
        <w:rFonts w:ascii="Symbol" w:hAnsi="Symbol" w:cs="Symbol"/>
      </w:rPr>
    </w:lvl>
  </w:abstractNum>
  <w:abstractNum w:abstractNumId="1" w15:restartNumberingAfterBreak="0">
    <w:nsid w:val="1007115D"/>
    <w:multiLevelType w:val="multilevel"/>
    <w:tmpl w:val="9CE0B322"/>
    <w:styleLink w:val="WW8Num10"/>
    <w:lvl w:ilvl="0">
      <w:numFmt w:val="bullet"/>
      <w:lvlText w:val=""/>
      <w:lvlJc w:val="left"/>
      <w:pPr>
        <w:ind w:left="1069" w:hanging="360"/>
      </w:pPr>
      <w:rPr>
        <w:rFonts w:ascii="Wingdings" w:hAnsi="Wingdings" w:cs="Wingdings"/>
        <w:color w:val="000000"/>
        <w:sz w:val="21"/>
        <w:szCs w:val="21"/>
      </w:rPr>
    </w:lvl>
    <w:lvl w:ilvl="1">
      <w:numFmt w:val="bullet"/>
      <w:lvlText w:val=""/>
      <w:lvlJc w:val="left"/>
      <w:pPr>
        <w:ind w:left="1429" w:hanging="360"/>
      </w:pPr>
      <w:rPr>
        <w:rFonts w:ascii="Wingdings" w:hAnsi="Wingdings" w:cs="Wingdings"/>
        <w:color w:val="000000"/>
        <w:sz w:val="21"/>
        <w:szCs w:val="21"/>
      </w:rPr>
    </w:lvl>
    <w:lvl w:ilvl="2">
      <w:numFmt w:val="bullet"/>
      <w:lvlText w:val=""/>
      <w:lvlJc w:val="left"/>
      <w:pPr>
        <w:ind w:left="1789" w:hanging="360"/>
      </w:pPr>
      <w:rPr>
        <w:rFonts w:ascii="Wingdings" w:hAnsi="Wingdings" w:cs="Wingdings"/>
        <w:color w:val="000000"/>
        <w:sz w:val="21"/>
        <w:szCs w:val="21"/>
      </w:rPr>
    </w:lvl>
    <w:lvl w:ilvl="3">
      <w:numFmt w:val="bullet"/>
      <w:lvlText w:val=""/>
      <w:lvlJc w:val="left"/>
      <w:pPr>
        <w:ind w:left="2149" w:hanging="360"/>
      </w:pPr>
      <w:rPr>
        <w:rFonts w:ascii="Symbol" w:hAnsi="Symbol" w:cs="Symbol"/>
      </w:rPr>
    </w:lvl>
    <w:lvl w:ilvl="4">
      <w:numFmt w:val="bullet"/>
      <w:lvlText w:val=""/>
      <w:lvlJc w:val="left"/>
      <w:pPr>
        <w:ind w:left="2509" w:hanging="360"/>
      </w:pPr>
      <w:rPr>
        <w:rFonts w:ascii="Symbol" w:hAnsi="Symbol" w:cs="Symbol"/>
      </w:rPr>
    </w:lvl>
    <w:lvl w:ilvl="5">
      <w:numFmt w:val="bullet"/>
      <w:lvlText w:val=""/>
      <w:lvlJc w:val="left"/>
      <w:pPr>
        <w:ind w:left="2869" w:hanging="360"/>
      </w:pPr>
      <w:rPr>
        <w:rFonts w:ascii="Wingdings" w:hAnsi="Wingdings" w:cs="Wingdings"/>
        <w:color w:val="000000"/>
        <w:sz w:val="21"/>
        <w:szCs w:val="21"/>
      </w:rPr>
    </w:lvl>
    <w:lvl w:ilvl="6">
      <w:numFmt w:val="bullet"/>
      <w:lvlText w:val=""/>
      <w:lvlJc w:val="left"/>
      <w:pPr>
        <w:ind w:left="3229" w:hanging="360"/>
      </w:pPr>
      <w:rPr>
        <w:rFonts w:ascii="Wingdings" w:hAnsi="Wingdings" w:cs="Wingdings"/>
        <w:color w:val="000000"/>
        <w:sz w:val="21"/>
        <w:szCs w:val="21"/>
      </w:rPr>
    </w:lvl>
    <w:lvl w:ilvl="7">
      <w:numFmt w:val="bullet"/>
      <w:lvlText w:val=""/>
      <w:lvlJc w:val="left"/>
      <w:pPr>
        <w:ind w:left="3589" w:hanging="360"/>
      </w:pPr>
      <w:rPr>
        <w:rFonts w:ascii="Symbol" w:hAnsi="Symbol" w:cs="Symbol"/>
      </w:rPr>
    </w:lvl>
    <w:lvl w:ilvl="8">
      <w:numFmt w:val="bullet"/>
      <w:lvlText w:val=""/>
      <w:lvlJc w:val="left"/>
      <w:pPr>
        <w:ind w:left="3949" w:hanging="360"/>
      </w:pPr>
      <w:rPr>
        <w:rFonts w:ascii="Symbol" w:hAnsi="Symbol" w:cs="Symbol"/>
      </w:rPr>
    </w:lvl>
  </w:abstractNum>
  <w:abstractNum w:abstractNumId="2" w15:restartNumberingAfterBreak="0">
    <w:nsid w:val="13DB634F"/>
    <w:multiLevelType w:val="multilevel"/>
    <w:tmpl w:val="1F48838A"/>
    <w:styleLink w:val="WWNum4"/>
    <w:lvl w:ilvl="0">
      <w:numFmt w:val="bullet"/>
      <w:lvlText w:val=""/>
      <w:lvlJc w:val="left"/>
      <w:pPr>
        <w:ind w:left="3620" w:hanging="360"/>
      </w:pPr>
      <w:rPr>
        <w:rFonts w:ascii="Wingdings" w:hAnsi="Wingdings"/>
      </w:rPr>
    </w:lvl>
    <w:lvl w:ilvl="1">
      <w:numFmt w:val="bullet"/>
      <w:lvlText w:val="o"/>
      <w:lvlJc w:val="left"/>
      <w:pPr>
        <w:ind w:left="5757" w:hanging="360"/>
      </w:pPr>
      <w:rPr>
        <w:rFonts w:ascii="Courier New" w:hAnsi="Courier New"/>
      </w:rPr>
    </w:lvl>
    <w:lvl w:ilvl="2">
      <w:numFmt w:val="bullet"/>
      <w:lvlText w:val=""/>
      <w:lvlJc w:val="left"/>
      <w:pPr>
        <w:ind w:left="6477" w:hanging="360"/>
      </w:pPr>
      <w:rPr>
        <w:rFonts w:ascii="Wingdings" w:hAnsi="Wingdings"/>
      </w:rPr>
    </w:lvl>
    <w:lvl w:ilvl="3">
      <w:numFmt w:val="bullet"/>
      <w:lvlText w:val=""/>
      <w:lvlJc w:val="left"/>
      <w:pPr>
        <w:ind w:left="7197" w:hanging="360"/>
      </w:pPr>
      <w:rPr>
        <w:rFonts w:ascii="Symbol" w:hAnsi="Symbol"/>
      </w:rPr>
    </w:lvl>
    <w:lvl w:ilvl="4">
      <w:numFmt w:val="bullet"/>
      <w:lvlText w:val="o"/>
      <w:lvlJc w:val="left"/>
      <w:pPr>
        <w:ind w:left="7917" w:hanging="360"/>
      </w:pPr>
      <w:rPr>
        <w:rFonts w:ascii="Courier New" w:hAnsi="Courier New"/>
      </w:rPr>
    </w:lvl>
    <w:lvl w:ilvl="5">
      <w:numFmt w:val="bullet"/>
      <w:lvlText w:val=""/>
      <w:lvlJc w:val="left"/>
      <w:pPr>
        <w:ind w:left="8637" w:hanging="360"/>
      </w:pPr>
      <w:rPr>
        <w:rFonts w:ascii="Wingdings" w:hAnsi="Wingdings"/>
      </w:rPr>
    </w:lvl>
    <w:lvl w:ilvl="6">
      <w:numFmt w:val="bullet"/>
      <w:lvlText w:val=""/>
      <w:lvlJc w:val="left"/>
      <w:pPr>
        <w:ind w:left="9357" w:hanging="360"/>
      </w:pPr>
      <w:rPr>
        <w:rFonts w:ascii="Symbol" w:hAnsi="Symbol"/>
      </w:rPr>
    </w:lvl>
    <w:lvl w:ilvl="7">
      <w:numFmt w:val="bullet"/>
      <w:lvlText w:val="o"/>
      <w:lvlJc w:val="left"/>
      <w:pPr>
        <w:ind w:left="10077" w:hanging="360"/>
      </w:pPr>
      <w:rPr>
        <w:rFonts w:ascii="Courier New" w:hAnsi="Courier New"/>
      </w:rPr>
    </w:lvl>
    <w:lvl w:ilvl="8">
      <w:numFmt w:val="bullet"/>
      <w:lvlText w:val=""/>
      <w:lvlJc w:val="left"/>
      <w:pPr>
        <w:ind w:left="10797" w:hanging="360"/>
      </w:pPr>
      <w:rPr>
        <w:rFonts w:ascii="Wingdings" w:hAnsi="Wingdings"/>
      </w:rPr>
    </w:lvl>
  </w:abstractNum>
  <w:abstractNum w:abstractNumId="3" w15:restartNumberingAfterBreak="0">
    <w:nsid w:val="174F5DE0"/>
    <w:multiLevelType w:val="multilevel"/>
    <w:tmpl w:val="685AB656"/>
    <w:styleLink w:val="WW8Num7"/>
    <w:lvl w:ilvl="0">
      <w:start w:val="1"/>
      <w:numFmt w:val="lowerLetter"/>
      <w:lvlText w:val="%1)"/>
      <w:lvlJc w:val="left"/>
      <w:pPr>
        <w:ind w:left="720" w:hanging="360"/>
      </w:pPr>
      <w:rPr>
        <w:rFonts w:ascii="Arial" w:hAnsi="Arial" w:cs="Arial"/>
        <w:sz w:val="21"/>
        <w:szCs w:val="21"/>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8DC584F"/>
    <w:multiLevelType w:val="multilevel"/>
    <w:tmpl w:val="287EF850"/>
    <w:styleLink w:val="WW8Num71"/>
    <w:lvl w:ilvl="0">
      <w:start w:val="1"/>
      <w:numFmt w:val="lowerLetter"/>
      <w:lvlText w:val="%1)"/>
      <w:lvlJc w:val="left"/>
      <w:pPr>
        <w:ind w:left="720" w:hanging="360"/>
      </w:pPr>
      <w:rPr>
        <w:rFonts w:ascii="Arial" w:hAnsi="Arial" w:cs="Arial"/>
        <w:sz w:val="21"/>
        <w:szCs w:val="21"/>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C3C6F08"/>
    <w:multiLevelType w:val="multilevel"/>
    <w:tmpl w:val="983E0710"/>
    <w:styleLink w:val="WW8Num6"/>
    <w:lvl w:ilvl="0">
      <w:numFmt w:val="bullet"/>
      <w:lvlText w:val=""/>
      <w:lvlJc w:val="left"/>
      <w:pPr>
        <w:ind w:left="1069" w:hanging="360"/>
      </w:pPr>
      <w:rPr>
        <w:rFonts w:ascii="Wingdings" w:hAnsi="Wingdings" w:cs="Wingdings"/>
        <w:sz w:val="21"/>
        <w:szCs w:val="21"/>
      </w:rPr>
    </w:lvl>
    <w:lvl w:ilvl="1">
      <w:numFmt w:val="bullet"/>
      <w:lvlText w:val=""/>
      <w:lvlJc w:val="left"/>
      <w:pPr>
        <w:ind w:left="1429" w:hanging="360"/>
      </w:pPr>
      <w:rPr>
        <w:rFonts w:ascii="Wingdings" w:hAnsi="Wingdings" w:cs="Wingdings"/>
        <w:sz w:val="21"/>
        <w:szCs w:val="21"/>
      </w:rPr>
    </w:lvl>
    <w:lvl w:ilvl="2">
      <w:numFmt w:val="bullet"/>
      <w:lvlText w:val=""/>
      <w:lvlJc w:val="left"/>
      <w:pPr>
        <w:ind w:left="1789" w:hanging="360"/>
      </w:pPr>
      <w:rPr>
        <w:rFonts w:ascii="Wingdings" w:hAnsi="Wingdings" w:cs="Wingdings"/>
        <w:sz w:val="21"/>
        <w:szCs w:val="21"/>
      </w:rPr>
    </w:lvl>
    <w:lvl w:ilvl="3">
      <w:numFmt w:val="bullet"/>
      <w:lvlText w:val=""/>
      <w:lvlJc w:val="left"/>
      <w:pPr>
        <w:ind w:left="2149" w:hanging="360"/>
      </w:pPr>
      <w:rPr>
        <w:rFonts w:ascii="Symbol" w:hAnsi="Symbol" w:cs="Symbol"/>
      </w:rPr>
    </w:lvl>
    <w:lvl w:ilvl="4">
      <w:numFmt w:val="bullet"/>
      <w:lvlText w:val=""/>
      <w:lvlJc w:val="left"/>
      <w:pPr>
        <w:ind w:left="2509" w:hanging="360"/>
      </w:pPr>
      <w:rPr>
        <w:rFonts w:ascii="Symbol" w:hAnsi="Symbol" w:cs="Symbol"/>
      </w:rPr>
    </w:lvl>
    <w:lvl w:ilvl="5">
      <w:numFmt w:val="bullet"/>
      <w:lvlText w:val=""/>
      <w:lvlJc w:val="left"/>
      <w:pPr>
        <w:ind w:left="2869" w:hanging="360"/>
      </w:pPr>
      <w:rPr>
        <w:rFonts w:ascii="Wingdings" w:hAnsi="Wingdings" w:cs="Wingdings"/>
        <w:sz w:val="21"/>
        <w:szCs w:val="21"/>
      </w:rPr>
    </w:lvl>
    <w:lvl w:ilvl="6">
      <w:numFmt w:val="bullet"/>
      <w:lvlText w:val=""/>
      <w:lvlJc w:val="left"/>
      <w:pPr>
        <w:ind w:left="3229" w:hanging="360"/>
      </w:pPr>
      <w:rPr>
        <w:rFonts w:ascii="Wingdings" w:hAnsi="Wingdings" w:cs="Wingdings"/>
        <w:sz w:val="21"/>
        <w:szCs w:val="21"/>
      </w:rPr>
    </w:lvl>
    <w:lvl w:ilvl="7">
      <w:numFmt w:val="bullet"/>
      <w:lvlText w:val=""/>
      <w:lvlJc w:val="left"/>
      <w:pPr>
        <w:ind w:left="3589" w:hanging="360"/>
      </w:pPr>
      <w:rPr>
        <w:rFonts w:ascii="Symbol" w:hAnsi="Symbol" w:cs="Symbol"/>
      </w:rPr>
    </w:lvl>
    <w:lvl w:ilvl="8">
      <w:numFmt w:val="bullet"/>
      <w:lvlText w:val=""/>
      <w:lvlJc w:val="left"/>
      <w:pPr>
        <w:ind w:left="3949" w:hanging="360"/>
      </w:pPr>
      <w:rPr>
        <w:rFonts w:ascii="Symbol" w:hAnsi="Symbol" w:cs="Symbol"/>
      </w:rPr>
    </w:lvl>
  </w:abstractNum>
  <w:abstractNum w:abstractNumId="6" w15:restartNumberingAfterBreak="0">
    <w:nsid w:val="1DC8370A"/>
    <w:multiLevelType w:val="multilevel"/>
    <w:tmpl w:val="4D66BE2E"/>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EA253AF"/>
    <w:multiLevelType w:val="multilevel"/>
    <w:tmpl w:val="4C7EE164"/>
    <w:lvl w:ilvl="0">
      <w:numFmt w:val="bullet"/>
      <w:lvlText w:val="-"/>
      <w:lvlJc w:val="left"/>
      <w:pPr>
        <w:ind w:left="825" w:hanging="465"/>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F694549"/>
    <w:multiLevelType w:val="multilevel"/>
    <w:tmpl w:val="942E20D4"/>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1E750C3"/>
    <w:multiLevelType w:val="multilevel"/>
    <w:tmpl w:val="2FA2EA12"/>
    <w:lvl w:ilvl="0">
      <w:start w:val="1"/>
      <w:numFmt w:val="lowerLetter"/>
      <w:lvlText w:val="%1)"/>
      <w:lvlJc w:val="left"/>
      <w:pPr>
        <w:ind w:left="360" w:hanging="360"/>
      </w:pPr>
      <w:rPr>
        <w:b w:val="0"/>
      </w:rPr>
    </w:lvl>
    <w:lvl w:ilvl="1">
      <w:start w:val="1"/>
      <w:numFmt w:val="lowerLetter"/>
      <w:lvlText w:val="%2."/>
      <w:lvlJc w:val="left"/>
      <w:pPr>
        <w:ind w:left="2508" w:hanging="360"/>
      </w:pPr>
    </w:lvl>
    <w:lvl w:ilvl="2">
      <w:start w:val="1"/>
      <w:numFmt w:val="lowerRoman"/>
      <w:lvlText w:val="%3."/>
      <w:lvlJc w:val="right"/>
      <w:pPr>
        <w:ind w:left="3228" w:hanging="180"/>
      </w:pPr>
    </w:lvl>
    <w:lvl w:ilvl="3">
      <w:start w:val="1"/>
      <w:numFmt w:val="decimal"/>
      <w:lvlText w:val="%4."/>
      <w:lvlJc w:val="left"/>
      <w:pPr>
        <w:ind w:left="3948" w:hanging="360"/>
      </w:pPr>
    </w:lvl>
    <w:lvl w:ilvl="4">
      <w:start w:val="1"/>
      <w:numFmt w:val="lowerLetter"/>
      <w:lvlText w:val="%5."/>
      <w:lvlJc w:val="left"/>
      <w:pPr>
        <w:ind w:left="4668" w:hanging="360"/>
      </w:pPr>
    </w:lvl>
    <w:lvl w:ilvl="5">
      <w:start w:val="1"/>
      <w:numFmt w:val="lowerRoman"/>
      <w:lvlText w:val="%6."/>
      <w:lvlJc w:val="right"/>
      <w:pPr>
        <w:ind w:left="5388" w:hanging="180"/>
      </w:pPr>
    </w:lvl>
    <w:lvl w:ilvl="6">
      <w:start w:val="1"/>
      <w:numFmt w:val="decimal"/>
      <w:lvlText w:val="%7."/>
      <w:lvlJc w:val="left"/>
      <w:pPr>
        <w:ind w:left="6108" w:hanging="360"/>
      </w:pPr>
    </w:lvl>
    <w:lvl w:ilvl="7">
      <w:start w:val="1"/>
      <w:numFmt w:val="lowerLetter"/>
      <w:lvlText w:val="%8."/>
      <w:lvlJc w:val="left"/>
      <w:pPr>
        <w:ind w:left="6828" w:hanging="360"/>
      </w:pPr>
    </w:lvl>
    <w:lvl w:ilvl="8">
      <w:start w:val="1"/>
      <w:numFmt w:val="lowerRoman"/>
      <w:lvlText w:val="%9."/>
      <w:lvlJc w:val="right"/>
      <w:pPr>
        <w:ind w:left="7548" w:hanging="180"/>
      </w:pPr>
    </w:lvl>
  </w:abstractNum>
  <w:abstractNum w:abstractNumId="10" w15:restartNumberingAfterBreak="0">
    <w:nsid w:val="25671379"/>
    <w:multiLevelType w:val="multilevel"/>
    <w:tmpl w:val="7B60B874"/>
    <w:styleLink w:val="WWNum28"/>
    <w:lvl w:ilvl="0">
      <w:numFmt w:val="bullet"/>
      <w:lvlText w:val=""/>
      <w:lvlJc w:val="left"/>
      <w:pPr>
        <w:ind w:left="720" w:hanging="360"/>
      </w:pPr>
      <w:rPr>
        <w:rFonts w:ascii="Wingdings" w:hAnsi="Wingdings" w:cs="Wingdings"/>
        <w:kern w:val="3"/>
        <w:sz w:val="21"/>
        <w:szCs w:val="21"/>
        <w:lang w:bidi="hi-I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936491F"/>
    <w:multiLevelType w:val="multilevel"/>
    <w:tmpl w:val="D8B4116A"/>
    <w:styleLink w:val="WW8Num161"/>
    <w:lvl w:ilvl="0">
      <w:numFmt w:val="bullet"/>
      <w:lvlText w:val=""/>
      <w:lvlJc w:val="left"/>
      <w:pPr>
        <w:ind w:left="720" w:hanging="360"/>
      </w:pPr>
      <w:rPr>
        <w:rFonts w:ascii="Symbol" w:hAnsi="Symbol" w:cs="Symbol"/>
        <w:sz w:val="20"/>
      </w:rPr>
    </w:lvl>
    <w:lvl w:ilvl="1">
      <w:start w:val="1"/>
      <w:numFmt w:val="decimal"/>
      <w:lvlText w:val="%2."/>
      <w:lvlJc w:val="left"/>
      <w:pPr>
        <w:ind w:left="1440" w:hanging="360"/>
      </w:pPr>
    </w:lvl>
    <w:lvl w:ilvl="2">
      <w:numFmt w:val="bullet"/>
      <w:lvlText w:val=""/>
      <w:lvlJc w:val="left"/>
      <w:pPr>
        <w:ind w:left="2160" w:hanging="360"/>
      </w:pPr>
      <w:rPr>
        <w:rFonts w:ascii="Symbol" w:hAnsi="Symbol" w:cs="Symbol"/>
        <w:sz w:val="20"/>
      </w:rPr>
    </w:lvl>
    <w:lvl w:ilvl="3">
      <w:numFmt w:val="bullet"/>
      <w:lvlText w:val=""/>
      <w:lvlJc w:val="left"/>
      <w:pPr>
        <w:ind w:left="2880" w:hanging="360"/>
      </w:pPr>
      <w:rPr>
        <w:rFonts w:ascii="Symbol" w:hAnsi="Symbol" w:cs="Symbol"/>
        <w:sz w:val="20"/>
      </w:rPr>
    </w:lvl>
    <w:lvl w:ilvl="4">
      <w:numFmt w:val="bullet"/>
      <w:lvlText w:val=""/>
      <w:lvlJc w:val="left"/>
      <w:pPr>
        <w:ind w:left="3600" w:hanging="360"/>
      </w:pPr>
      <w:rPr>
        <w:rFonts w:ascii="Symbol" w:hAnsi="Symbol" w:cs="Symbol"/>
        <w:sz w:val="20"/>
      </w:rPr>
    </w:lvl>
    <w:lvl w:ilvl="5">
      <w:numFmt w:val="bullet"/>
      <w:lvlText w:val=""/>
      <w:lvlJc w:val="left"/>
      <w:pPr>
        <w:ind w:left="4320" w:hanging="360"/>
      </w:pPr>
      <w:rPr>
        <w:rFonts w:ascii="Symbol" w:hAnsi="Symbol" w:cs="Symbol"/>
        <w:sz w:val="20"/>
      </w:rPr>
    </w:lvl>
    <w:lvl w:ilvl="6">
      <w:numFmt w:val="bullet"/>
      <w:lvlText w:val=""/>
      <w:lvlJc w:val="left"/>
      <w:pPr>
        <w:ind w:left="5040" w:hanging="360"/>
      </w:pPr>
      <w:rPr>
        <w:rFonts w:ascii="Symbol" w:hAnsi="Symbol" w:cs="Symbol"/>
        <w:sz w:val="20"/>
      </w:rPr>
    </w:lvl>
    <w:lvl w:ilvl="7">
      <w:numFmt w:val="bullet"/>
      <w:lvlText w:val=""/>
      <w:lvlJc w:val="left"/>
      <w:pPr>
        <w:ind w:left="5760" w:hanging="360"/>
      </w:pPr>
      <w:rPr>
        <w:rFonts w:ascii="Symbol" w:hAnsi="Symbol" w:cs="Symbol"/>
        <w:sz w:val="20"/>
      </w:rPr>
    </w:lvl>
    <w:lvl w:ilvl="8">
      <w:numFmt w:val="bullet"/>
      <w:lvlText w:val=""/>
      <w:lvlJc w:val="left"/>
      <w:pPr>
        <w:ind w:left="6480" w:hanging="360"/>
      </w:pPr>
      <w:rPr>
        <w:rFonts w:ascii="Symbol" w:hAnsi="Symbol" w:cs="Symbol"/>
        <w:sz w:val="20"/>
      </w:rPr>
    </w:lvl>
  </w:abstractNum>
  <w:abstractNum w:abstractNumId="12" w15:restartNumberingAfterBreak="0">
    <w:nsid w:val="2C9C17BA"/>
    <w:multiLevelType w:val="multilevel"/>
    <w:tmpl w:val="C5BC3B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17D54A9"/>
    <w:multiLevelType w:val="multilevel"/>
    <w:tmpl w:val="28A0CF7A"/>
    <w:styleLink w:val="WW8Num141"/>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A7D115F"/>
    <w:multiLevelType w:val="multilevel"/>
    <w:tmpl w:val="3654B718"/>
    <w:styleLink w:val="WW8Num142"/>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B0F5EA5"/>
    <w:multiLevelType w:val="multilevel"/>
    <w:tmpl w:val="4C8C2192"/>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6" w15:restartNumberingAfterBreak="0">
    <w:nsid w:val="3BDC31D4"/>
    <w:multiLevelType w:val="multilevel"/>
    <w:tmpl w:val="B60430DA"/>
    <w:styleLink w:val="WW8Num14"/>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F7825BB"/>
    <w:multiLevelType w:val="multilevel"/>
    <w:tmpl w:val="81008154"/>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FD51070"/>
    <w:multiLevelType w:val="multilevel"/>
    <w:tmpl w:val="8CC28CE6"/>
    <w:styleLink w:val="WW8Num4"/>
    <w:lvl w:ilvl="0">
      <w:numFmt w:val="bullet"/>
      <w:lvlText w:val=""/>
      <w:lvlJc w:val="left"/>
      <w:pPr>
        <w:ind w:left="360" w:hanging="360"/>
      </w:pPr>
      <w:rPr>
        <w:rFonts w:ascii="Symbol" w:hAnsi="Symbol" w:cs="Symbol"/>
        <w:sz w:val="21"/>
        <w:szCs w:val="21"/>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41B5755D"/>
    <w:multiLevelType w:val="multilevel"/>
    <w:tmpl w:val="60DEC30E"/>
    <w:lvl w:ilvl="0">
      <w:start w:val="1"/>
      <w:numFmt w:val="decimal"/>
      <w:lvlText w:val="%1)"/>
      <w:lvlJc w:val="left"/>
      <w:pPr>
        <w:ind w:left="259" w:firstLine="0"/>
      </w:pPr>
      <w:rPr>
        <w:rFonts w:ascii="Arial" w:eastAsia="Calibri"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0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8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5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2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9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6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4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1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20" w15:restartNumberingAfterBreak="0">
    <w:nsid w:val="432242E6"/>
    <w:multiLevelType w:val="multilevel"/>
    <w:tmpl w:val="7EFAACB4"/>
    <w:styleLink w:val="WW8Num16"/>
    <w:lvl w:ilvl="0">
      <w:numFmt w:val="bullet"/>
      <w:lvlText w:val=""/>
      <w:lvlJc w:val="left"/>
      <w:pPr>
        <w:ind w:left="720" w:hanging="360"/>
      </w:pPr>
      <w:rPr>
        <w:rFonts w:ascii="Symbol" w:hAnsi="Symbol" w:cs="Symbol"/>
        <w:sz w:val="20"/>
      </w:rPr>
    </w:lvl>
    <w:lvl w:ilvl="1">
      <w:start w:val="1"/>
      <w:numFmt w:val="decimal"/>
      <w:lvlText w:val="%2."/>
      <w:lvlJc w:val="left"/>
      <w:pPr>
        <w:ind w:left="1440" w:hanging="360"/>
      </w:pPr>
    </w:lvl>
    <w:lvl w:ilvl="2">
      <w:numFmt w:val="bullet"/>
      <w:lvlText w:val=""/>
      <w:lvlJc w:val="left"/>
      <w:pPr>
        <w:ind w:left="2160" w:hanging="360"/>
      </w:pPr>
      <w:rPr>
        <w:rFonts w:ascii="Symbol" w:hAnsi="Symbol" w:cs="Symbol"/>
        <w:sz w:val="20"/>
      </w:rPr>
    </w:lvl>
    <w:lvl w:ilvl="3">
      <w:numFmt w:val="bullet"/>
      <w:lvlText w:val=""/>
      <w:lvlJc w:val="left"/>
      <w:pPr>
        <w:ind w:left="2880" w:hanging="360"/>
      </w:pPr>
      <w:rPr>
        <w:rFonts w:ascii="Symbol" w:hAnsi="Symbol" w:cs="Symbol"/>
        <w:sz w:val="20"/>
      </w:rPr>
    </w:lvl>
    <w:lvl w:ilvl="4">
      <w:numFmt w:val="bullet"/>
      <w:lvlText w:val=""/>
      <w:lvlJc w:val="left"/>
      <w:pPr>
        <w:ind w:left="3600" w:hanging="360"/>
      </w:pPr>
      <w:rPr>
        <w:rFonts w:ascii="Symbol" w:hAnsi="Symbol" w:cs="Symbol"/>
        <w:sz w:val="20"/>
      </w:rPr>
    </w:lvl>
    <w:lvl w:ilvl="5">
      <w:numFmt w:val="bullet"/>
      <w:lvlText w:val=""/>
      <w:lvlJc w:val="left"/>
      <w:pPr>
        <w:ind w:left="4320" w:hanging="360"/>
      </w:pPr>
      <w:rPr>
        <w:rFonts w:ascii="Symbol" w:hAnsi="Symbol" w:cs="Symbol"/>
        <w:sz w:val="20"/>
      </w:rPr>
    </w:lvl>
    <w:lvl w:ilvl="6">
      <w:numFmt w:val="bullet"/>
      <w:lvlText w:val=""/>
      <w:lvlJc w:val="left"/>
      <w:pPr>
        <w:ind w:left="5040" w:hanging="360"/>
      </w:pPr>
      <w:rPr>
        <w:rFonts w:ascii="Symbol" w:hAnsi="Symbol" w:cs="Symbol"/>
        <w:sz w:val="20"/>
      </w:rPr>
    </w:lvl>
    <w:lvl w:ilvl="7">
      <w:numFmt w:val="bullet"/>
      <w:lvlText w:val=""/>
      <w:lvlJc w:val="left"/>
      <w:pPr>
        <w:ind w:left="5760" w:hanging="360"/>
      </w:pPr>
      <w:rPr>
        <w:rFonts w:ascii="Symbol" w:hAnsi="Symbol" w:cs="Symbol"/>
        <w:sz w:val="20"/>
      </w:rPr>
    </w:lvl>
    <w:lvl w:ilvl="8">
      <w:numFmt w:val="bullet"/>
      <w:lvlText w:val=""/>
      <w:lvlJc w:val="left"/>
      <w:pPr>
        <w:ind w:left="6480" w:hanging="360"/>
      </w:pPr>
      <w:rPr>
        <w:rFonts w:ascii="Symbol" w:hAnsi="Symbol" w:cs="Symbol"/>
        <w:sz w:val="20"/>
      </w:rPr>
    </w:lvl>
  </w:abstractNum>
  <w:abstractNum w:abstractNumId="21" w15:restartNumberingAfterBreak="0">
    <w:nsid w:val="445005E8"/>
    <w:multiLevelType w:val="multilevel"/>
    <w:tmpl w:val="967A39EA"/>
    <w:styleLink w:val="WW8Num131"/>
    <w:lvl w:ilvl="0">
      <w:start w:val="1"/>
      <w:numFmt w:val="lowerLetter"/>
      <w:lvlText w:val="%1)"/>
      <w:lvlJc w:val="left"/>
      <w:pPr>
        <w:ind w:left="720" w:hanging="360"/>
      </w:pPr>
      <w:rPr>
        <w:rFonts w:ascii="Arial" w:hAnsi="Arial" w:cs="Arial"/>
        <w:sz w:val="21"/>
        <w:szCs w:val="21"/>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47110FC9"/>
    <w:multiLevelType w:val="multilevel"/>
    <w:tmpl w:val="99FE53CE"/>
    <w:styleLink w:val="WW8Num15"/>
    <w:lvl w:ilvl="0">
      <w:numFmt w:val="bullet"/>
      <w:lvlText w:val=""/>
      <w:lvlJc w:val="left"/>
      <w:pPr>
        <w:ind w:left="720" w:hanging="360"/>
      </w:pPr>
      <w:rPr>
        <w:rFonts w:ascii="Wingdings" w:hAnsi="Wingdings" w:cs="Wingdings"/>
        <w:kern w:val="3"/>
        <w:sz w:val="21"/>
        <w:szCs w:val="21"/>
        <w:lang w:bidi="hi-I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487D1F2C"/>
    <w:multiLevelType w:val="hybridMultilevel"/>
    <w:tmpl w:val="81B4771C"/>
    <w:lvl w:ilvl="0" w:tplc="38A2FAF0">
      <w:start w:val="1"/>
      <w:numFmt w:val="bullet"/>
      <w:lvlText w:val="-"/>
      <w:lvlJc w:val="left"/>
      <w:pPr>
        <w:tabs>
          <w:tab w:val="num" w:pos="5180"/>
        </w:tabs>
        <w:ind w:left="5180" w:hanging="360"/>
      </w:pPr>
      <w:rPr>
        <w:rFonts w:ascii="Times New Roman" w:eastAsia="Times New Roman" w:hAnsi="Times New Roman" w:cs="Times New Roman" w:hint="default"/>
      </w:rPr>
    </w:lvl>
    <w:lvl w:ilvl="1" w:tplc="04100003" w:tentative="1">
      <w:start w:val="1"/>
      <w:numFmt w:val="bullet"/>
      <w:lvlText w:val="o"/>
      <w:lvlJc w:val="left"/>
      <w:pPr>
        <w:tabs>
          <w:tab w:val="num" w:pos="5900"/>
        </w:tabs>
        <w:ind w:left="5900" w:hanging="360"/>
      </w:pPr>
      <w:rPr>
        <w:rFonts w:ascii="Courier New" w:hAnsi="Courier New" w:cs="Courier New" w:hint="default"/>
      </w:rPr>
    </w:lvl>
    <w:lvl w:ilvl="2" w:tplc="04100005" w:tentative="1">
      <w:start w:val="1"/>
      <w:numFmt w:val="bullet"/>
      <w:lvlText w:val=""/>
      <w:lvlJc w:val="left"/>
      <w:pPr>
        <w:tabs>
          <w:tab w:val="num" w:pos="6620"/>
        </w:tabs>
        <w:ind w:left="6620" w:hanging="360"/>
      </w:pPr>
      <w:rPr>
        <w:rFonts w:ascii="Wingdings" w:hAnsi="Wingdings" w:hint="default"/>
      </w:rPr>
    </w:lvl>
    <w:lvl w:ilvl="3" w:tplc="04100001" w:tentative="1">
      <w:start w:val="1"/>
      <w:numFmt w:val="bullet"/>
      <w:lvlText w:val=""/>
      <w:lvlJc w:val="left"/>
      <w:pPr>
        <w:tabs>
          <w:tab w:val="num" w:pos="7340"/>
        </w:tabs>
        <w:ind w:left="7340" w:hanging="360"/>
      </w:pPr>
      <w:rPr>
        <w:rFonts w:ascii="Symbol" w:hAnsi="Symbol" w:hint="default"/>
      </w:rPr>
    </w:lvl>
    <w:lvl w:ilvl="4" w:tplc="04100003" w:tentative="1">
      <w:start w:val="1"/>
      <w:numFmt w:val="bullet"/>
      <w:lvlText w:val="o"/>
      <w:lvlJc w:val="left"/>
      <w:pPr>
        <w:tabs>
          <w:tab w:val="num" w:pos="8060"/>
        </w:tabs>
        <w:ind w:left="8060" w:hanging="360"/>
      </w:pPr>
      <w:rPr>
        <w:rFonts w:ascii="Courier New" w:hAnsi="Courier New" w:cs="Courier New" w:hint="default"/>
      </w:rPr>
    </w:lvl>
    <w:lvl w:ilvl="5" w:tplc="04100005" w:tentative="1">
      <w:start w:val="1"/>
      <w:numFmt w:val="bullet"/>
      <w:lvlText w:val=""/>
      <w:lvlJc w:val="left"/>
      <w:pPr>
        <w:tabs>
          <w:tab w:val="num" w:pos="8780"/>
        </w:tabs>
        <w:ind w:left="8780" w:hanging="360"/>
      </w:pPr>
      <w:rPr>
        <w:rFonts w:ascii="Wingdings" w:hAnsi="Wingdings" w:hint="default"/>
      </w:rPr>
    </w:lvl>
    <w:lvl w:ilvl="6" w:tplc="04100001" w:tentative="1">
      <w:start w:val="1"/>
      <w:numFmt w:val="bullet"/>
      <w:lvlText w:val=""/>
      <w:lvlJc w:val="left"/>
      <w:pPr>
        <w:tabs>
          <w:tab w:val="num" w:pos="9500"/>
        </w:tabs>
        <w:ind w:left="9500" w:hanging="360"/>
      </w:pPr>
      <w:rPr>
        <w:rFonts w:ascii="Symbol" w:hAnsi="Symbol" w:hint="default"/>
      </w:rPr>
    </w:lvl>
    <w:lvl w:ilvl="7" w:tplc="04100003" w:tentative="1">
      <w:start w:val="1"/>
      <w:numFmt w:val="bullet"/>
      <w:lvlText w:val="o"/>
      <w:lvlJc w:val="left"/>
      <w:pPr>
        <w:tabs>
          <w:tab w:val="num" w:pos="10220"/>
        </w:tabs>
        <w:ind w:left="10220" w:hanging="360"/>
      </w:pPr>
      <w:rPr>
        <w:rFonts w:ascii="Courier New" w:hAnsi="Courier New" w:cs="Courier New" w:hint="default"/>
      </w:rPr>
    </w:lvl>
    <w:lvl w:ilvl="8" w:tplc="04100005" w:tentative="1">
      <w:start w:val="1"/>
      <w:numFmt w:val="bullet"/>
      <w:lvlText w:val=""/>
      <w:lvlJc w:val="left"/>
      <w:pPr>
        <w:tabs>
          <w:tab w:val="num" w:pos="10940"/>
        </w:tabs>
        <w:ind w:left="10940" w:hanging="360"/>
      </w:pPr>
      <w:rPr>
        <w:rFonts w:ascii="Wingdings" w:hAnsi="Wingdings" w:hint="default"/>
      </w:rPr>
    </w:lvl>
  </w:abstractNum>
  <w:abstractNum w:abstractNumId="24" w15:restartNumberingAfterBreak="0">
    <w:nsid w:val="4BFD6F41"/>
    <w:multiLevelType w:val="multilevel"/>
    <w:tmpl w:val="A0821EDA"/>
    <w:styleLink w:val="WW8Num8"/>
    <w:lvl w:ilvl="0">
      <w:numFmt w:val="bullet"/>
      <w:lvlText w:val=""/>
      <w:lvlJc w:val="left"/>
      <w:pPr>
        <w:ind w:left="720" w:hanging="360"/>
      </w:pPr>
      <w:rPr>
        <w:rFonts w:ascii="Wingdings" w:hAnsi="Wingdings" w:cs="Wingdings"/>
        <w:kern w:val="3"/>
        <w:sz w:val="21"/>
        <w:szCs w:val="21"/>
        <w:lang w:eastAsia="zh-CN" w:bidi="hi-I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4FC03F64"/>
    <w:multiLevelType w:val="multilevel"/>
    <w:tmpl w:val="4BDE1B4C"/>
    <w:styleLink w:val="WW8Num13"/>
    <w:lvl w:ilvl="0">
      <w:start w:val="1"/>
      <w:numFmt w:val="lowerLetter"/>
      <w:lvlText w:val="%1)"/>
      <w:lvlJc w:val="left"/>
      <w:pPr>
        <w:ind w:left="720" w:hanging="360"/>
      </w:pPr>
      <w:rPr>
        <w:rFonts w:ascii="Arial" w:hAnsi="Arial" w:cs="Arial"/>
        <w:sz w:val="21"/>
        <w:szCs w:val="21"/>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51835493"/>
    <w:multiLevelType w:val="multilevel"/>
    <w:tmpl w:val="C0F626E8"/>
    <w:styleLink w:val="WW8Num101"/>
    <w:lvl w:ilvl="0">
      <w:numFmt w:val="bullet"/>
      <w:lvlText w:val=""/>
      <w:lvlJc w:val="left"/>
      <w:pPr>
        <w:ind w:left="1069" w:hanging="360"/>
      </w:pPr>
      <w:rPr>
        <w:rFonts w:ascii="Wingdings" w:hAnsi="Wingdings" w:cs="Wingdings"/>
        <w:color w:val="000000"/>
        <w:sz w:val="21"/>
        <w:szCs w:val="21"/>
      </w:rPr>
    </w:lvl>
    <w:lvl w:ilvl="1">
      <w:numFmt w:val="bullet"/>
      <w:lvlText w:val=""/>
      <w:lvlJc w:val="left"/>
      <w:pPr>
        <w:ind w:left="1429" w:hanging="360"/>
      </w:pPr>
      <w:rPr>
        <w:rFonts w:ascii="Wingdings" w:hAnsi="Wingdings" w:cs="Wingdings"/>
        <w:color w:val="000000"/>
        <w:sz w:val="21"/>
        <w:szCs w:val="21"/>
      </w:rPr>
    </w:lvl>
    <w:lvl w:ilvl="2">
      <w:numFmt w:val="bullet"/>
      <w:lvlText w:val=""/>
      <w:lvlJc w:val="left"/>
      <w:pPr>
        <w:ind w:left="1789" w:hanging="360"/>
      </w:pPr>
      <w:rPr>
        <w:rFonts w:ascii="Wingdings" w:hAnsi="Wingdings" w:cs="Wingdings"/>
        <w:color w:val="000000"/>
        <w:sz w:val="21"/>
        <w:szCs w:val="21"/>
      </w:rPr>
    </w:lvl>
    <w:lvl w:ilvl="3">
      <w:numFmt w:val="bullet"/>
      <w:lvlText w:val=""/>
      <w:lvlJc w:val="left"/>
      <w:pPr>
        <w:ind w:left="2149" w:hanging="360"/>
      </w:pPr>
      <w:rPr>
        <w:rFonts w:ascii="Symbol" w:hAnsi="Symbol" w:cs="Symbol"/>
      </w:rPr>
    </w:lvl>
    <w:lvl w:ilvl="4">
      <w:numFmt w:val="bullet"/>
      <w:lvlText w:val=""/>
      <w:lvlJc w:val="left"/>
      <w:pPr>
        <w:ind w:left="2509" w:hanging="360"/>
      </w:pPr>
      <w:rPr>
        <w:rFonts w:ascii="Symbol" w:hAnsi="Symbol" w:cs="Symbol"/>
      </w:rPr>
    </w:lvl>
    <w:lvl w:ilvl="5">
      <w:numFmt w:val="bullet"/>
      <w:lvlText w:val=""/>
      <w:lvlJc w:val="left"/>
      <w:pPr>
        <w:ind w:left="2869" w:hanging="360"/>
      </w:pPr>
      <w:rPr>
        <w:rFonts w:ascii="Wingdings" w:hAnsi="Wingdings" w:cs="Wingdings"/>
        <w:color w:val="000000"/>
        <w:sz w:val="21"/>
        <w:szCs w:val="21"/>
      </w:rPr>
    </w:lvl>
    <w:lvl w:ilvl="6">
      <w:numFmt w:val="bullet"/>
      <w:lvlText w:val=""/>
      <w:lvlJc w:val="left"/>
      <w:pPr>
        <w:ind w:left="3229" w:hanging="360"/>
      </w:pPr>
      <w:rPr>
        <w:rFonts w:ascii="Wingdings" w:hAnsi="Wingdings" w:cs="Wingdings"/>
        <w:color w:val="000000"/>
        <w:sz w:val="21"/>
        <w:szCs w:val="21"/>
      </w:rPr>
    </w:lvl>
    <w:lvl w:ilvl="7">
      <w:numFmt w:val="bullet"/>
      <w:lvlText w:val=""/>
      <w:lvlJc w:val="left"/>
      <w:pPr>
        <w:ind w:left="3589" w:hanging="360"/>
      </w:pPr>
      <w:rPr>
        <w:rFonts w:ascii="Symbol" w:hAnsi="Symbol" w:cs="Symbol"/>
      </w:rPr>
    </w:lvl>
    <w:lvl w:ilvl="8">
      <w:numFmt w:val="bullet"/>
      <w:lvlText w:val=""/>
      <w:lvlJc w:val="left"/>
      <w:pPr>
        <w:ind w:left="3949" w:hanging="360"/>
      </w:pPr>
      <w:rPr>
        <w:rFonts w:ascii="Symbol" w:hAnsi="Symbol" w:cs="Symbol"/>
      </w:rPr>
    </w:lvl>
  </w:abstractNum>
  <w:abstractNum w:abstractNumId="27" w15:restartNumberingAfterBreak="0">
    <w:nsid w:val="520A7FB5"/>
    <w:multiLevelType w:val="multilevel"/>
    <w:tmpl w:val="09BE277E"/>
    <w:styleLink w:val="WW8Num1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5A953E8E"/>
    <w:multiLevelType w:val="multilevel"/>
    <w:tmpl w:val="223498F0"/>
    <w:styleLink w:val="WW8Num12"/>
    <w:lvl w:ilvl="0">
      <w:start w:val="1"/>
      <w:numFmt w:val="decimal"/>
      <w:lvlText w:val="%1."/>
      <w:lvlJc w:val="left"/>
      <w:pPr>
        <w:ind w:left="360" w:hanging="360"/>
      </w:pPr>
    </w:lvl>
    <w:lvl w:ilvl="1">
      <w:start w:val="4"/>
      <w:numFmt w:val="decimal"/>
      <w:lvlText w:val="%1.%2"/>
      <w:lvlJc w:val="left"/>
      <w:pPr>
        <w:ind w:left="915" w:hanging="360"/>
      </w:pPr>
    </w:lvl>
    <w:lvl w:ilvl="2">
      <w:start w:val="1"/>
      <w:numFmt w:val="decimal"/>
      <w:lvlText w:val="%1.%2.%3"/>
      <w:lvlJc w:val="left"/>
      <w:pPr>
        <w:ind w:left="1830" w:hanging="720"/>
      </w:pPr>
    </w:lvl>
    <w:lvl w:ilvl="3">
      <w:start w:val="1"/>
      <w:numFmt w:val="decimal"/>
      <w:lvlText w:val="%1.%2.%3.%4"/>
      <w:lvlJc w:val="left"/>
      <w:pPr>
        <w:ind w:left="2745" w:hanging="1080"/>
      </w:pPr>
    </w:lvl>
    <w:lvl w:ilvl="4">
      <w:start w:val="1"/>
      <w:numFmt w:val="decimal"/>
      <w:lvlText w:val="%1.%2.%3.%4.%5"/>
      <w:lvlJc w:val="left"/>
      <w:pPr>
        <w:ind w:left="3300" w:hanging="1080"/>
      </w:pPr>
    </w:lvl>
    <w:lvl w:ilvl="5">
      <w:start w:val="1"/>
      <w:numFmt w:val="decimal"/>
      <w:lvlText w:val="%1.%2.%3.%4.%5.%6"/>
      <w:lvlJc w:val="left"/>
      <w:pPr>
        <w:ind w:left="4215" w:hanging="1440"/>
      </w:pPr>
    </w:lvl>
    <w:lvl w:ilvl="6">
      <w:start w:val="1"/>
      <w:numFmt w:val="decimal"/>
      <w:lvlText w:val="%1.%2.%3.%4.%5.%6.%7"/>
      <w:lvlJc w:val="left"/>
      <w:pPr>
        <w:ind w:left="4770" w:hanging="1440"/>
      </w:pPr>
    </w:lvl>
    <w:lvl w:ilvl="7">
      <w:start w:val="1"/>
      <w:numFmt w:val="decimal"/>
      <w:lvlText w:val="%1.%2.%3.%4.%5.%6.%7.%8"/>
      <w:lvlJc w:val="left"/>
      <w:pPr>
        <w:ind w:left="5685" w:hanging="1800"/>
      </w:pPr>
    </w:lvl>
    <w:lvl w:ilvl="8">
      <w:start w:val="1"/>
      <w:numFmt w:val="decimal"/>
      <w:lvlText w:val="%1.%2.%3.%4.%5.%6.%7.%8.%9"/>
      <w:lvlJc w:val="left"/>
      <w:pPr>
        <w:ind w:left="6240" w:hanging="1800"/>
      </w:pPr>
    </w:lvl>
  </w:abstractNum>
  <w:abstractNum w:abstractNumId="29" w15:restartNumberingAfterBreak="0">
    <w:nsid w:val="5D6E11C1"/>
    <w:multiLevelType w:val="multilevel"/>
    <w:tmpl w:val="8B48D5B8"/>
    <w:styleLink w:val="WW8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5FF179F1"/>
    <w:multiLevelType w:val="multilevel"/>
    <w:tmpl w:val="C688E866"/>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0CD56C4"/>
    <w:multiLevelType w:val="multilevel"/>
    <w:tmpl w:val="C6FC635E"/>
    <w:styleLink w:val="WW8Num3"/>
    <w:lvl w:ilvl="0">
      <w:numFmt w:val="bullet"/>
      <w:lvlText w:val=""/>
      <w:lvlJc w:val="left"/>
      <w:pPr>
        <w:ind w:left="720" w:hanging="360"/>
      </w:pPr>
      <w:rPr>
        <w:rFonts w:ascii="Symbol" w:hAnsi="Symbol" w:cs="Symbol"/>
        <w:color w:val="000000"/>
        <w:sz w:val="21"/>
        <w:szCs w:val="21"/>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64863C99"/>
    <w:multiLevelType w:val="multilevel"/>
    <w:tmpl w:val="107E0E4C"/>
    <w:styleLink w:val="WW8Num51"/>
    <w:lvl w:ilvl="0">
      <w:numFmt w:val="bullet"/>
      <w:lvlText w:val=""/>
      <w:lvlJc w:val="left"/>
      <w:pPr>
        <w:ind w:left="720" w:hanging="360"/>
      </w:pPr>
      <w:rPr>
        <w:rFonts w:ascii="Symbol" w:hAnsi="Symbol" w:cs="Symbol"/>
        <w:sz w:val="21"/>
        <w:szCs w:val="21"/>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656E70E2"/>
    <w:multiLevelType w:val="multilevel"/>
    <w:tmpl w:val="D29EA184"/>
    <w:lvl w:ilvl="0">
      <w:numFmt w:val="bullet"/>
      <w:lvlText w:val="-"/>
      <w:lvlJc w:val="left"/>
      <w:pPr>
        <w:ind w:left="720" w:hanging="360"/>
      </w:pPr>
      <w:rPr>
        <w:rFonts w:ascii="Arial" w:eastAsia="Times New Roman" w:hAnsi="Arial" w:cs="Arial"/>
        <w:sz w:val="21"/>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BE153CF"/>
    <w:multiLevelType w:val="multilevel"/>
    <w:tmpl w:val="EA6E4220"/>
    <w:styleLink w:val="WW8Num31"/>
    <w:lvl w:ilvl="0">
      <w:numFmt w:val="bullet"/>
      <w:lvlText w:val=""/>
      <w:lvlJc w:val="left"/>
      <w:pPr>
        <w:ind w:left="720" w:hanging="360"/>
      </w:pPr>
      <w:rPr>
        <w:rFonts w:ascii="Symbol" w:hAnsi="Symbol" w:cs="Symbol"/>
        <w:color w:val="000000"/>
        <w:sz w:val="21"/>
        <w:szCs w:val="21"/>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6DB61D3F"/>
    <w:multiLevelType w:val="multilevel"/>
    <w:tmpl w:val="7728A44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70E95AB2"/>
    <w:multiLevelType w:val="multilevel"/>
    <w:tmpl w:val="3244A980"/>
    <w:styleLink w:val="WW8Num9"/>
    <w:lvl w:ilvl="0">
      <w:start w:val="4"/>
      <w:numFmt w:val="decimal"/>
      <w:lvlText w:val="%1."/>
      <w:lvlJc w:val="left"/>
      <w:pPr>
        <w:ind w:left="360" w:hanging="360"/>
      </w:pPr>
      <w:rPr>
        <w:rFonts w:cs="Arial"/>
      </w:rPr>
    </w:lvl>
    <w:lvl w:ilvl="1">
      <w:start w:val="4"/>
      <w:numFmt w:val="decimal"/>
      <w:lvlText w:val="%1.%2"/>
      <w:lvlJc w:val="left"/>
      <w:pPr>
        <w:ind w:left="915" w:hanging="360"/>
      </w:pPr>
      <w:rPr>
        <w:rFonts w:cs="Arial"/>
      </w:rPr>
    </w:lvl>
    <w:lvl w:ilvl="2">
      <w:start w:val="1"/>
      <w:numFmt w:val="decimal"/>
      <w:lvlText w:val="%1.%2.%3"/>
      <w:lvlJc w:val="left"/>
      <w:pPr>
        <w:ind w:left="1830" w:hanging="720"/>
      </w:pPr>
      <w:rPr>
        <w:rFonts w:cs="Arial"/>
      </w:rPr>
    </w:lvl>
    <w:lvl w:ilvl="3">
      <w:start w:val="1"/>
      <w:numFmt w:val="decimal"/>
      <w:lvlText w:val="%1.%2.%3.%4"/>
      <w:lvlJc w:val="left"/>
      <w:pPr>
        <w:ind w:left="2745" w:hanging="1080"/>
      </w:pPr>
      <w:rPr>
        <w:rFonts w:cs="Arial"/>
      </w:rPr>
    </w:lvl>
    <w:lvl w:ilvl="4">
      <w:start w:val="1"/>
      <w:numFmt w:val="decimal"/>
      <w:lvlText w:val="%1.%2.%3.%4.%5"/>
      <w:lvlJc w:val="left"/>
      <w:pPr>
        <w:ind w:left="3300" w:hanging="1080"/>
      </w:pPr>
      <w:rPr>
        <w:rFonts w:cs="Arial"/>
      </w:rPr>
    </w:lvl>
    <w:lvl w:ilvl="5">
      <w:start w:val="1"/>
      <w:numFmt w:val="decimal"/>
      <w:lvlText w:val="%1.%2.%3.%4.%5.%6"/>
      <w:lvlJc w:val="left"/>
      <w:pPr>
        <w:ind w:left="4215" w:hanging="1440"/>
      </w:pPr>
      <w:rPr>
        <w:rFonts w:cs="Arial"/>
      </w:rPr>
    </w:lvl>
    <w:lvl w:ilvl="6">
      <w:start w:val="1"/>
      <w:numFmt w:val="decimal"/>
      <w:lvlText w:val="%1.%2.%3.%4.%5.%6.%7"/>
      <w:lvlJc w:val="left"/>
      <w:pPr>
        <w:ind w:left="4770" w:hanging="1440"/>
      </w:pPr>
      <w:rPr>
        <w:rFonts w:cs="Arial"/>
      </w:rPr>
    </w:lvl>
    <w:lvl w:ilvl="7">
      <w:start w:val="1"/>
      <w:numFmt w:val="decimal"/>
      <w:lvlText w:val="%1.%2.%3.%4.%5.%6.%7.%8"/>
      <w:lvlJc w:val="left"/>
      <w:pPr>
        <w:ind w:left="5685" w:hanging="1800"/>
      </w:pPr>
      <w:rPr>
        <w:rFonts w:cs="Arial"/>
      </w:rPr>
    </w:lvl>
    <w:lvl w:ilvl="8">
      <w:start w:val="1"/>
      <w:numFmt w:val="decimal"/>
      <w:lvlText w:val="%1.%2.%3.%4.%5.%6.%7.%8.%9"/>
      <w:lvlJc w:val="left"/>
      <w:pPr>
        <w:ind w:left="6240" w:hanging="1800"/>
      </w:pPr>
      <w:rPr>
        <w:rFonts w:cs="Arial"/>
      </w:rPr>
    </w:lvl>
  </w:abstractNum>
  <w:abstractNum w:abstractNumId="37" w15:restartNumberingAfterBreak="0">
    <w:nsid w:val="77524FCF"/>
    <w:multiLevelType w:val="multilevel"/>
    <w:tmpl w:val="18BE9C78"/>
    <w:styleLink w:val="WW8Num5"/>
    <w:lvl w:ilvl="0">
      <w:numFmt w:val="bullet"/>
      <w:lvlText w:val=""/>
      <w:lvlJc w:val="left"/>
      <w:pPr>
        <w:ind w:left="720" w:hanging="360"/>
      </w:pPr>
      <w:rPr>
        <w:rFonts w:ascii="Symbol" w:hAnsi="Symbol" w:cs="Symbol"/>
        <w:sz w:val="21"/>
        <w:szCs w:val="21"/>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781A5537"/>
    <w:multiLevelType w:val="multilevel"/>
    <w:tmpl w:val="CAB064DC"/>
    <w:styleLink w:val="WW8Num2"/>
    <w:lvl w:ilvl="0">
      <w:numFmt w:val="bullet"/>
      <w:pStyle w:val="Puntoelenco"/>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7D8C2F90"/>
    <w:multiLevelType w:val="multilevel"/>
    <w:tmpl w:val="E788084E"/>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0" w15:restartNumberingAfterBreak="0">
    <w:nsid w:val="7F3A377B"/>
    <w:multiLevelType w:val="multilevel"/>
    <w:tmpl w:val="3B442E76"/>
    <w:lvl w:ilvl="0">
      <w:numFmt w:val="bullet"/>
      <w:lvlText w:val="-"/>
      <w:lvlJc w:val="left"/>
      <w:pPr>
        <w:ind w:left="720" w:hanging="360"/>
      </w:pPr>
      <w:rPr>
        <w:rFonts w:ascii="Calibri" w:eastAsia="Times New Roman" w:hAnsi="Calibri"/>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num w:numId="1">
    <w:abstractNumId w:val="23"/>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7"/>
  </w:num>
  <w:num w:numId="5">
    <w:abstractNumId w:val="14"/>
  </w:num>
  <w:num w:numId="6">
    <w:abstractNumId w:val="32"/>
  </w:num>
  <w:num w:numId="7">
    <w:abstractNumId w:val="0"/>
  </w:num>
  <w:num w:numId="8">
    <w:abstractNumId w:val="21"/>
  </w:num>
  <w:num w:numId="9">
    <w:abstractNumId w:val="4"/>
  </w:num>
  <w:num w:numId="10">
    <w:abstractNumId w:val="26"/>
  </w:num>
  <w:num w:numId="11">
    <w:abstractNumId w:val="34"/>
  </w:num>
  <w:num w:numId="12">
    <w:abstractNumId w:val="11"/>
  </w:num>
  <w:num w:numId="13">
    <w:abstractNumId w:val="13"/>
  </w:num>
  <w:num w:numId="14">
    <w:abstractNumId w:val="39"/>
  </w:num>
  <w:num w:numId="15">
    <w:abstractNumId w:val="38"/>
  </w:num>
  <w:num w:numId="16">
    <w:abstractNumId w:val="31"/>
  </w:num>
  <w:num w:numId="17">
    <w:abstractNumId w:val="18"/>
  </w:num>
  <w:num w:numId="18">
    <w:abstractNumId w:val="37"/>
  </w:num>
  <w:num w:numId="19">
    <w:abstractNumId w:val="5"/>
  </w:num>
  <w:num w:numId="20">
    <w:abstractNumId w:val="3"/>
  </w:num>
  <w:num w:numId="21">
    <w:abstractNumId w:val="24"/>
  </w:num>
  <w:num w:numId="22">
    <w:abstractNumId w:val="36"/>
  </w:num>
  <w:num w:numId="23">
    <w:abstractNumId w:val="1"/>
  </w:num>
  <w:num w:numId="24">
    <w:abstractNumId w:val="29"/>
  </w:num>
  <w:num w:numId="25">
    <w:abstractNumId w:val="28"/>
  </w:num>
  <w:num w:numId="26">
    <w:abstractNumId w:val="25"/>
  </w:num>
  <w:num w:numId="27">
    <w:abstractNumId w:val="16"/>
  </w:num>
  <w:num w:numId="28">
    <w:abstractNumId w:val="22"/>
  </w:num>
  <w:num w:numId="29">
    <w:abstractNumId w:val="20"/>
  </w:num>
  <w:num w:numId="30">
    <w:abstractNumId w:val="19"/>
  </w:num>
  <w:num w:numId="31">
    <w:abstractNumId w:val="4"/>
    <w:lvlOverride w:ilvl="0">
      <w:startOverride w:val="1"/>
    </w:lvlOverride>
  </w:num>
  <w:num w:numId="32">
    <w:abstractNumId w:val="21"/>
    <w:lvlOverride w:ilvl="0">
      <w:startOverride w:val="1"/>
    </w:lvlOverride>
  </w:num>
  <w:num w:numId="33">
    <w:abstractNumId w:val="15"/>
  </w:num>
  <w:num w:numId="34">
    <w:abstractNumId w:val="8"/>
  </w:num>
  <w:num w:numId="35">
    <w:abstractNumId w:val="30"/>
  </w:num>
  <w:num w:numId="36">
    <w:abstractNumId w:val="7"/>
  </w:num>
  <w:num w:numId="37">
    <w:abstractNumId w:val="12"/>
  </w:num>
  <w:num w:numId="38">
    <w:abstractNumId w:val="9"/>
  </w:num>
  <w:num w:numId="39">
    <w:abstractNumId w:val="6"/>
  </w:num>
  <w:num w:numId="40">
    <w:abstractNumId w:val="34"/>
  </w:num>
  <w:num w:numId="41">
    <w:abstractNumId w:val="11"/>
  </w:num>
  <w:num w:numId="42">
    <w:abstractNumId w:val="17"/>
  </w:num>
  <w:num w:numId="43">
    <w:abstractNumId w:val="40"/>
  </w:num>
  <w:num w:numId="44">
    <w:abstractNumId w:val="33"/>
  </w:num>
  <w:num w:numId="45">
    <w:abstractNumId w:val="35"/>
  </w:num>
  <w:num w:numId="46">
    <w:abstractNumId w:val="24"/>
  </w:num>
  <w:num w:numId="47">
    <w:abstractNumId w:val="22"/>
  </w:num>
  <w:num w:numId="48">
    <w:abstractNumId w:val="10"/>
  </w:num>
  <w:num w:numId="4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7F8"/>
    <w:rsid w:val="00021AD3"/>
    <w:rsid w:val="00036692"/>
    <w:rsid w:val="00080553"/>
    <w:rsid w:val="000E3064"/>
    <w:rsid w:val="000F09B7"/>
    <w:rsid w:val="000F3672"/>
    <w:rsid w:val="000F3852"/>
    <w:rsid w:val="001673B1"/>
    <w:rsid w:val="00173B4F"/>
    <w:rsid w:val="001973AF"/>
    <w:rsid w:val="001C0449"/>
    <w:rsid w:val="001C4B8F"/>
    <w:rsid w:val="001D67B4"/>
    <w:rsid w:val="001F1839"/>
    <w:rsid w:val="0022777B"/>
    <w:rsid w:val="00235B99"/>
    <w:rsid w:val="00257A14"/>
    <w:rsid w:val="00260982"/>
    <w:rsid w:val="00281310"/>
    <w:rsid w:val="00291C8D"/>
    <w:rsid w:val="002B2E53"/>
    <w:rsid w:val="002E408F"/>
    <w:rsid w:val="00301752"/>
    <w:rsid w:val="00311DCB"/>
    <w:rsid w:val="00316668"/>
    <w:rsid w:val="00334DF2"/>
    <w:rsid w:val="00371581"/>
    <w:rsid w:val="00381895"/>
    <w:rsid w:val="003864B2"/>
    <w:rsid w:val="003B0951"/>
    <w:rsid w:val="003B357B"/>
    <w:rsid w:val="003E73AA"/>
    <w:rsid w:val="003F2276"/>
    <w:rsid w:val="004053EB"/>
    <w:rsid w:val="00436956"/>
    <w:rsid w:val="004436B3"/>
    <w:rsid w:val="0046063C"/>
    <w:rsid w:val="00481D2E"/>
    <w:rsid w:val="004A5BDB"/>
    <w:rsid w:val="004C2B3E"/>
    <w:rsid w:val="004E1806"/>
    <w:rsid w:val="004F0264"/>
    <w:rsid w:val="00505028"/>
    <w:rsid w:val="00510C1C"/>
    <w:rsid w:val="00511AFB"/>
    <w:rsid w:val="00514B20"/>
    <w:rsid w:val="005158C3"/>
    <w:rsid w:val="00517541"/>
    <w:rsid w:val="00524777"/>
    <w:rsid w:val="00542A45"/>
    <w:rsid w:val="005452EF"/>
    <w:rsid w:val="00572E22"/>
    <w:rsid w:val="00576DAB"/>
    <w:rsid w:val="00582DE2"/>
    <w:rsid w:val="00593145"/>
    <w:rsid w:val="00596BDF"/>
    <w:rsid w:val="005B4488"/>
    <w:rsid w:val="005C0759"/>
    <w:rsid w:val="00604FCD"/>
    <w:rsid w:val="0062798C"/>
    <w:rsid w:val="00627C2B"/>
    <w:rsid w:val="00642A4B"/>
    <w:rsid w:val="0064605C"/>
    <w:rsid w:val="0064749A"/>
    <w:rsid w:val="00673753"/>
    <w:rsid w:val="00691063"/>
    <w:rsid w:val="00693179"/>
    <w:rsid w:val="006B44A9"/>
    <w:rsid w:val="006B4B6A"/>
    <w:rsid w:val="006C7C27"/>
    <w:rsid w:val="006D0DD5"/>
    <w:rsid w:val="006D244C"/>
    <w:rsid w:val="006F17AE"/>
    <w:rsid w:val="006F200B"/>
    <w:rsid w:val="006F4CFE"/>
    <w:rsid w:val="006F6017"/>
    <w:rsid w:val="00705ACE"/>
    <w:rsid w:val="00722E2A"/>
    <w:rsid w:val="0075108B"/>
    <w:rsid w:val="00774381"/>
    <w:rsid w:val="00797375"/>
    <w:rsid w:val="007C1F0C"/>
    <w:rsid w:val="007D0469"/>
    <w:rsid w:val="0080282F"/>
    <w:rsid w:val="0081425D"/>
    <w:rsid w:val="00822359"/>
    <w:rsid w:val="00822B64"/>
    <w:rsid w:val="008265D3"/>
    <w:rsid w:val="00833CBE"/>
    <w:rsid w:val="008400C9"/>
    <w:rsid w:val="00842FEF"/>
    <w:rsid w:val="00844066"/>
    <w:rsid w:val="00845CF3"/>
    <w:rsid w:val="00847862"/>
    <w:rsid w:val="0086305A"/>
    <w:rsid w:val="008720C6"/>
    <w:rsid w:val="008B50E4"/>
    <w:rsid w:val="00900310"/>
    <w:rsid w:val="009124D3"/>
    <w:rsid w:val="0092474F"/>
    <w:rsid w:val="00941CC6"/>
    <w:rsid w:val="0095334B"/>
    <w:rsid w:val="009762B6"/>
    <w:rsid w:val="00993219"/>
    <w:rsid w:val="009C5FEC"/>
    <w:rsid w:val="009C7D0B"/>
    <w:rsid w:val="009E4205"/>
    <w:rsid w:val="009E45BA"/>
    <w:rsid w:val="009F19D5"/>
    <w:rsid w:val="00A02844"/>
    <w:rsid w:val="00A06F97"/>
    <w:rsid w:val="00A12DD4"/>
    <w:rsid w:val="00A141E2"/>
    <w:rsid w:val="00A474B2"/>
    <w:rsid w:val="00A567F8"/>
    <w:rsid w:val="00A91DEA"/>
    <w:rsid w:val="00AC5F79"/>
    <w:rsid w:val="00AC7BAD"/>
    <w:rsid w:val="00AD7335"/>
    <w:rsid w:val="00AE0093"/>
    <w:rsid w:val="00AE18B4"/>
    <w:rsid w:val="00AF7E6F"/>
    <w:rsid w:val="00B160EB"/>
    <w:rsid w:val="00B31DB6"/>
    <w:rsid w:val="00B5000F"/>
    <w:rsid w:val="00B50C8B"/>
    <w:rsid w:val="00B62FDF"/>
    <w:rsid w:val="00B95B16"/>
    <w:rsid w:val="00BA5C62"/>
    <w:rsid w:val="00BC1AFF"/>
    <w:rsid w:val="00BC39D0"/>
    <w:rsid w:val="00BC4D9D"/>
    <w:rsid w:val="00BE100F"/>
    <w:rsid w:val="00BE3619"/>
    <w:rsid w:val="00C308E6"/>
    <w:rsid w:val="00C403E4"/>
    <w:rsid w:val="00C7434A"/>
    <w:rsid w:val="00C74E98"/>
    <w:rsid w:val="00C8242D"/>
    <w:rsid w:val="00C82C19"/>
    <w:rsid w:val="00C87305"/>
    <w:rsid w:val="00C91D46"/>
    <w:rsid w:val="00CA0C55"/>
    <w:rsid w:val="00CC21F6"/>
    <w:rsid w:val="00CE4736"/>
    <w:rsid w:val="00CE4E6F"/>
    <w:rsid w:val="00CF5818"/>
    <w:rsid w:val="00D213A6"/>
    <w:rsid w:val="00D91190"/>
    <w:rsid w:val="00D93A0A"/>
    <w:rsid w:val="00DE38D3"/>
    <w:rsid w:val="00DF66EA"/>
    <w:rsid w:val="00E025F6"/>
    <w:rsid w:val="00E02956"/>
    <w:rsid w:val="00E175FF"/>
    <w:rsid w:val="00E6212F"/>
    <w:rsid w:val="00E62347"/>
    <w:rsid w:val="00E63FBE"/>
    <w:rsid w:val="00E93D7E"/>
    <w:rsid w:val="00EB141A"/>
    <w:rsid w:val="00EE1BC1"/>
    <w:rsid w:val="00EE4C89"/>
    <w:rsid w:val="00F0267E"/>
    <w:rsid w:val="00F147DF"/>
    <w:rsid w:val="00F1612C"/>
    <w:rsid w:val="00F253C8"/>
    <w:rsid w:val="00F25CF4"/>
    <w:rsid w:val="00F26ACE"/>
    <w:rsid w:val="00F4244B"/>
    <w:rsid w:val="00F52123"/>
    <w:rsid w:val="00F756BB"/>
    <w:rsid w:val="00FA6054"/>
    <w:rsid w:val="00FA7ADE"/>
    <w:rsid w:val="00FE02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F11626-92C3-4006-A0CB-87242B940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uiPriority w:val="9"/>
    <w:qFormat/>
    <w:rsid w:val="006F6017"/>
    <w:pPr>
      <w:keepNext/>
      <w:spacing w:after="60"/>
      <w:ind w:left="1620" w:right="1538"/>
      <w:outlineLvl w:val="0"/>
    </w:pPr>
    <w:rPr>
      <w:rFonts w:ascii="Tahoma" w:hAnsi="Tahoma" w:cs="Tahoma"/>
      <w:b/>
      <w:bCs/>
      <w:sz w:val="22"/>
    </w:rPr>
  </w:style>
  <w:style w:type="paragraph" w:styleId="Titolo2">
    <w:name w:val="heading 2"/>
    <w:basedOn w:val="Normale"/>
    <w:next w:val="Normale"/>
    <w:link w:val="Titolo2Carattere"/>
    <w:uiPriority w:val="9"/>
    <w:qFormat/>
    <w:rsid w:val="006F6017"/>
    <w:pPr>
      <w:keepNext/>
      <w:jc w:val="center"/>
      <w:outlineLvl w:val="1"/>
    </w:pPr>
    <w:rPr>
      <w:rFonts w:ascii="Tahoma" w:hAnsi="Tahoma" w:cs="Tahoma"/>
      <w:b/>
      <w:bCs/>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567F8"/>
    <w:pPr>
      <w:tabs>
        <w:tab w:val="center" w:pos="4819"/>
        <w:tab w:val="right" w:pos="9638"/>
      </w:tabs>
    </w:pPr>
    <w:rPr>
      <w:sz w:val="20"/>
      <w:szCs w:val="20"/>
    </w:rPr>
  </w:style>
  <w:style w:type="character" w:styleId="Collegamentoipertestuale">
    <w:name w:val="Hyperlink"/>
    <w:rsid w:val="00A567F8"/>
    <w:rPr>
      <w:color w:val="0000FF"/>
      <w:u w:val="single"/>
    </w:rPr>
  </w:style>
  <w:style w:type="paragraph" w:styleId="Testofumetto">
    <w:name w:val="Balloon Text"/>
    <w:basedOn w:val="Normale"/>
    <w:link w:val="TestofumettoCarattere"/>
    <w:rsid w:val="00F253C8"/>
    <w:rPr>
      <w:rFonts w:ascii="Segoe UI" w:hAnsi="Segoe UI"/>
      <w:sz w:val="18"/>
      <w:szCs w:val="18"/>
      <w:lang w:val="x-none" w:eastAsia="x-none"/>
    </w:rPr>
  </w:style>
  <w:style w:type="character" w:customStyle="1" w:styleId="TestofumettoCarattere">
    <w:name w:val="Testo fumetto Carattere"/>
    <w:link w:val="Testofumetto"/>
    <w:rsid w:val="00F253C8"/>
    <w:rPr>
      <w:rFonts w:ascii="Segoe UI" w:hAnsi="Segoe UI" w:cs="Segoe UI"/>
      <w:sz w:val="18"/>
      <w:szCs w:val="18"/>
    </w:rPr>
  </w:style>
  <w:style w:type="paragraph" w:customStyle="1" w:styleId="Testodelblocco1">
    <w:name w:val="Testo del blocco1"/>
    <w:basedOn w:val="Normale"/>
    <w:rsid w:val="00CF5818"/>
    <w:pPr>
      <w:tabs>
        <w:tab w:val="center" w:pos="3402"/>
        <w:tab w:val="left" w:pos="5670"/>
      </w:tabs>
      <w:overflowPunct w:val="0"/>
      <w:autoSpaceDE w:val="0"/>
      <w:autoSpaceDN w:val="0"/>
      <w:adjustRightInd w:val="0"/>
      <w:ind w:left="1418" w:right="140" w:hanging="1418"/>
      <w:jc w:val="both"/>
    </w:pPr>
    <w:rPr>
      <w:b/>
      <w:szCs w:val="20"/>
    </w:rPr>
  </w:style>
  <w:style w:type="character" w:customStyle="1" w:styleId="Menzionenonrisolta">
    <w:name w:val="Menzione non risolta"/>
    <w:uiPriority w:val="99"/>
    <w:semiHidden/>
    <w:unhideWhenUsed/>
    <w:rsid w:val="009124D3"/>
    <w:rPr>
      <w:color w:val="605E5C"/>
      <w:shd w:val="clear" w:color="auto" w:fill="E1DFDD"/>
    </w:rPr>
  </w:style>
  <w:style w:type="paragraph" w:customStyle="1" w:styleId="Testodelblocco3">
    <w:name w:val="Testo del blocco3"/>
    <w:basedOn w:val="Normale"/>
    <w:rsid w:val="00381895"/>
    <w:pPr>
      <w:tabs>
        <w:tab w:val="center" w:pos="3402"/>
        <w:tab w:val="left" w:pos="5670"/>
      </w:tabs>
      <w:overflowPunct w:val="0"/>
      <w:autoSpaceDE w:val="0"/>
      <w:autoSpaceDN w:val="0"/>
      <w:adjustRightInd w:val="0"/>
      <w:ind w:left="1418" w:right="140" w:hanging="1418"/>
      <w:jc w:val="both"/>
    </w:pPr>
    <w:rPr>
      <w:b/>
      <w:szCs w:val="20"/>
    </w:rPr>
  </w:style>
  <w:style w:type="character" w:customStyle="1" w:styleId="Titolo1Carattere">
    <w:name w:val="Titolo 1 Carattere"/>
    <w:link w:val="Titolo1"/>
    <w:rsid w:val="006F6017"/>
    <w:rPr>
      <w:rFonts w:ascii="Tahoma" w:hAnsi="Tahoma" w:cs="Tahoma"/>
      <w:b/>
      <w:bCs/>
      <w:sz w:val="22"/>
      <w:szCs w:val="24"/>
    </w:rPr>
  </w:style>
  <w:style w:type="character" w:customStyle="1" w:styleId="Titolo2Carattere">
    <w:name w:val="Titolo 2 Carattere"/>
    <w:link w:val="Titolo2"/>
    <w:rsid w:val="006F6017"/>
    <w:rPr>
      <w:rFonts w:ascii="Tahoma" w:hAnsi="Tahoma" w:cs="Tahoma"/>
      <w:b/>
      <w:bCs/>
      <w:sz w:val="26"/>
      <w:szCs w:val="24"/>
    </w:rPr>
  </w:style>
  <w:style w:type="paragraph" w:customStyle="1" w:styleId="a">
    <w:basedOn w:val="Normale"/>
    <w:next w:val="Corpotesto"/>
    <w:rsid w:val="006F6017"/>
    <w:pPr>
      <w:spacing w:after="60"/>
      <w:jc w:val="both"/>
    </w:pPr>
    <w:rPr>
      <w:rFonts w:ascii="Tahoma" w:hAnsi="Tahoma" w:cs="Tahoma"/>
      <w:sz w:val="20"/>
    </w:rPr>
  </w:style>
  <w:style w:type="paragraph" w:styleId="Corpotesto">
    <w:name w:val="Body Text"/>
    <w:basedOn w:val="Normale"/>
    <w:link w:val="CorpotestoCarattere"/>
    <w:rsid w:val="006F6017"/>
    <w:pPr>
      <w:spacing w:after="120"/>
    </w:pPr>
  </w:style>
  <w:style w:type="character" w:customStyle="1" w:styleId="CorpotestoCarattere">
    <w:name w:val="Corpo testo Carattere"/>
    <w:link w:val="Corpotesto"/>
    <w:rsid w:val="006F6017"/>
    <w:rPr>
      <w:sz w:val="24"/>
      <w:szCs w:val="24"/>
    </w:rPr>
  </w:style>
  <w:style w:type="paragraph" w:styleId="Corpodeltesto2">
    <w:name w:val="Body Text 2"/>
    <w:basedOn w:val="Normale"/>
    <w:link w:val="Corpodeltesto2Carattere"/>
    <w:rsid w:val="00582DE2"/>
    <w:pPr>
      <w:spacing w:after="120" w:line="480" w:lineRule="auto"/>
    </w:pPr>
  </w:style>
  <w:style w:type="character" w:customStyle="1" w:styleId="Corpodeltesto2Carattere">
    <w:name w:val="Corpo del testo 2 Carattere"/>
    <w:link w:val="Corpodeltesto2"/>
    <w:rsid w:val="00582DE2"/>
    <w:rPr>
      <w:sz w:val="24"/>
      <w:szCs w:val="24"/>
    </w:rPr>
  </w:style>
  <w:style w:type="paragraph" w:customStyle="1" w:styleId="Standard">
    <w:name w:val="Standard"/>
    <w:rsid w:val="00582DE2"/>
    <w:pPr>
      <w:suppressAutoHyphens/>
      <w:autoSpaceDN w:val="0"/>
      <w:spacing w:after="200" w:line="276" w:lineRule="auto"/>
      <w:textAlignment w:val="baseline"/>
    </w:pPr>
    <w:rPr>
      <w:rFonts w:ascii="Calibri" w:hAnsi="Calibri"/>
      <w:kern w:val="3"/>
      <w:sz w:val="22"/>
      <w:szCs w:val="22"/>
      <w:lang w:eastAsia="zh-CN"/>
    </w:rPr>
  </w:style>
  <w:style w:type="paragraph" w:customStyle="1" w:styleId="Heading">
    <w:name w:val="Heading"/>
    <w:basedOn w:val="Standard"/>
    <w:next w:val="Textbody"/>
    <w:rsid w:val="00582DE2"/>
    <w:pPr>
      <w:keepNext/>
      <w:spacing w:before="240" w:after="120"/>
    </w:pPr>
    <w:rPr>
      <w:rFonts w:eastAsia="Arial Unicode MS" w:cs="Mangal"/>
      <w:sz w:val="28"/>
      <w:szCs w:val="28"/>
    </w:rPr>
  </w:style>
  <w:style w:type="paragraph" w:customStyle="1" w:styleId="Textbody">
    <w:name w:val="Text body"/>
    <w:basedOn w:val="Standard"/>
    <w:rsid w:val="00582DE2"/>
    <w:pPr>
      <w:spacing w:after="140" w:line="288" w:lineRule="auto"/>
    </w:pPr>
  </w:style>
  <w:style w:type="paragraph" w:styleId="Elenco">
    <w:name w:val="List"/>
    <w:basedOn w:val="Textbody"/>
    <w:rsid w:val="00582DE2"/>
    <w:rPr>
      <w:rFonts w:eastAsia="Calibri" w:cs="Mangal"/>
    </w:rPr>
  </w:style>
  <w:style w:type="paragraph" w:styleId="Didascalia">
    <w:name w:val="caption"/>
    <w:basedOn w:val="Standard"/>
    <w:rsid w:val="00582DE2"/>
    <w:pPr>
      <w:suppressLineNumbers/>
      <w:spacing w:before="120" w:after="120"/>
    </w:pPr>
    <w:rPr>
      <w:rFonts w:eastAsia="Calibri" w:cs="Mangal"/>
      <w:i/>
      <w:iCs/>
      <w:sz w:val="24"/>
      <w:szCs w:val="24"/>
    </w:rPr>
  </w:style>
  <w:style w:type="paragraph" w:customStyle="1" w:styleId="Index">
    <w:name w:val="Index"/>
    <w:basedOn w:val="Standard"/>
    <w:rsid w:val="00582DE2"/>
    <w:pPr>
      <w:suppressLineNumbers/>
    </w:pPr>
    <w:rPr>
      <w:rFonts w:eastAsia="Calibri" w:cs="Mangal"/>
    </w:rPr>
  </w:style>
  <w:style w:type="paragraph" w:customStyle="1" w:styleId="P">
    <w:name w:val="P"/>
    <w:rsid w:val="00582DE2"/>
    <w:pPr>
      <w:suppressAutoHyphens/>
      <w:autoSpaceDN w:val="0"/>
      <w:spacing w:after="200" w:line="276" w:lineRule="auto"/>
      <w:jc w:val="both"/>
      <w:textAlignment w:val="baseline"/>
    </w:pPr>
    <w:rPr>
      <w:rFonts w:ascii="News Serif" w:hAnsi="News Serif" w:cs="News Serif"/>
      <w:kern w:val="3"/>
      <w:sz w:val="24"/>
      <w:lang w:eastAsia="zh-CN"/>
    </w:rPr>
  </w:style>
  <w:style w:type="paragraph" w:customStyle="1" w:styleId="Contents1">
    <w:name w:val="Contents 1"/>
    <w:basedOn w:val="Standard"/>
    <w:next w:val="Standard"/>
    <w:rsid w:val="00582DE2"/>
    <w:pPr>
      <w:spacing w:before="120"/>
      <w:ind w:left="284" w:right="282" w:hanging="284"/>
    </w:pPr>
    <w:rPr>
      <w:rFonts w:ascii="Arial" w:eastAsia="Arial" w:hAnsi="Arial" w:cs="Arial"/>
      <w:b/>
      <w:caps/>
    </w:rPr>
  </w:style>
  <w:style w:type="paragraph" w:customStyle="1" w:styleId="Contents2">
    <w:name w:val="Contents 2"/>
    <w:basedOn w:val="Standard"/>
    <w:next w:val="Standard"/>
    <w:rsid w:val="00582DE2"/>
    <w:pPr>
      <w:ind w:left="709" w:right="282" w:hanging="425"/>
    </w:pPr>
    <w:rPr>
      <w:rFonts w:ascii="Arial" w:eastAsia="Arial" w:hAnsi="Arial" w:cs="Arial"/>
      <w:smallCaps/>
    </w:rPr>
  </w:style>
  <w:style w:type="paragraph" w:styleId="Paragrafoelenco">
    <w:name w:val="List Paragraph"/>
    <w:basedOn w:val="Standard"/>
    <w:rsid w:val="00582DE2"/>
    <w:pPr>
      <w:ind w:left="720"/>
    </w:pPr>
  </w:style>
  <w:style w:type="paragraph" w:customStyle="1" w:styleId="Default">
    <w:name w:val="Default"/>
    <w:rsid w:val="00582DE2"/>
    <w:pPr>
      <w:suppressAutoHyphens/>
      <w:autoSpaceDE w:val="0"/>
      <w:autoSpaceDN w:val="0"/>
      <w:spacing w:after="200" w:line="276" w:lineRule="auto"/>
      <w:jc w:val="both"/>
      <w:textAlignment w:val="baseline"/>
    </w:pPr>
    <w:rPr>
      <w:rFonts w:ascii="Garamond" w:hAnsi="Garamond" w:cs="Garamond"/>
      <w:color w:val="000000"/>
      <w:kern w:val="3"/>
      <w:sz w:val="24"/>
      <w:szCs w:val="24"/>
      <w:lang w:eastAsia="zh-CN"/>
    </w:rPr>
  </w:style>
  <w:style w:type="paragraph" w:styleId="Titolosommario">
    <w:name w:val="TOC Heading"/>
    <w:basedOn w:val="Titolo1"/>
    <w:next w:val="Standard"/>
    <w:rsid w:val="00582DE2"/>
    <w:pPr>
      <w:keepLines/>
      <w:suppressAutoHyphens/>
      <w:autoSpaceDN w:val="0"/>
      <w:spacing w:before="480" w:after="0" w:line="276" w:lineRule="auto"/>
      <w:ind w:left="0" w:right="0"/>
      <w:textAlignment w:val="baseline"/>
    </w:pPr>
    <w:rPr>
      <w:rFonts w:ascii="Cambria" w:eastAsia="Cambria" w:hAnsi="Cambria" w:cs="Cambria"/>
      <w:color w:val="365F91"/>
      <w:kern w:val="3"/>
      <w:sz w:val="28"/>
      <w:szCs w:val="28"/>
      <w:lang w:eastAsia="zh-CN"/>
    </w:rPr>
  </w:style>
  <w:style w:type="paragraph" w:styleId="Pidipagina">
    <w:name w:val="footer"/>
    <w:basedOn w:val="Standard"/>
    <w:link w:val="PidipaginaCarattere"/>
    <w:rsid w:val="00582DE2"/>
    <w:pPr>
      <w:tabs>
        <w:tab w:val="center" w:pos="4819"/>
        <w:tab w:val="right" w:pos="9638"/>
      </w:tabs>
    </w:pPr>
  </w:style>
  <w:style w:type="character" w:customStyle="1" w:styleId="PidipaginaCarattere">
    <w:name w:val="Piè di pagina Carattere"/>
    <w:link w:val="Pidipagina"/>
    <w:rsid w:val="00582DE2"/>
    <w:rPr>
      <w:rFonts w:ascii="Calibri" w:hAnsi="Calibri"/>
      <w:kern w:val="3"/>
      <w:sz w:val="22"/>
      <w:szCs w:val="22"/>
      <w:lang w:eastAsia="zh-CN"/>
    </w:rPr>
  </w:style>
  <w:style w:type="paragraph" w:styleId="NormaleWeb">
    <w:name w:val="Normal (Web)"/>
    <w:basedOn w:val="Standard"/>
    <w:rsid w:val="00582DE2"/>
    <w:pPr>
      <w:spacing w:before="280" w:after="142" w:line="288" w:lineRule="auto"/>
    </w:pPr>
  </w:style>
  <w:style w:type="paragraph" w:styleId="Testocommento">
    <w:name w:val="annotation text"/>
    <w:basedOn w:val="Standard"/>
    <w:link w:val="TestocommentoCarattere"/>
    <w:rsid w:val="00582DE2"/>
    <w:rPr>
      <w:rFonts w:eastAsia="Calibri"/>
      <w:sz w:val="20"/>
      <w:szCs w:val="20"/>
    </w:rPr>
  </w:style>
  <w:style w:type="character" w:customStyle="1" w:styleId="TestocommentoCarattere">
    <w:name w:val="Testo commento Carattere"/>
    <w:link w:val="Testocommento"/>
    <w:rsid w:val="00582DE2"/>
    <w:rPr>
      <w:rFonts w:ascii="Calibri" w:eastAsia="Calibri" w:hAnsi="Calibri"/>
      <w:kern w:val="3"/>
      <w:lang w:eastAsia="zh-CN"/>
    </w:rPr>
  </w:style>
  <w:style w:type="paragraph" w:styleId="Puntoelenco">
    <w:name w:val="List Bullet"/>
    <w:basedOn w:val="Standard"/>
    <w:rsid w:val="00582DE2"/>
    <w:pPr>
      <w:numPr>
        <w:numId w:val="15"/>
      </w:numPr>
    </w:pPr>
  </w:style>
  <w:style w:type="paragraph" w:customStyle="1" w:styleId="Testodelblocco10">
    <w:name w:val="Testo del blocco1"/>
    <w:basedOn w:val="Standard"/>
    <w:rsid w:val="00582DE2"/>
    <w:pPr>
      <w:tabs>
        <w:tab w:val="center" w:pos="4820"/>
        <w:tab w:val="left" w:pos="7088"/>
      </w:tabs>
      <w:overflowPunct w:val="0"/>
      <w:autoSpaceDE w:val="0"/>
      <w:spacing w:after="0" w:line="240" w:lineRule="auto"/>
      <w:ind w:left="1418" w:right="140" w:hanging="1418"/>
      <w:jc w:val="both"/>
    </w:pPr>
    <w:rPr>
      <w:rFonts w:ascii="Times New Roman" w:hAnsi="Times New Roman"/>
      <w:b/>
      <w:sz w:val="24"/>
      <w:szCs w:val="20"/>
    </w:rPr>
  </w:style>
  <w:style w:type="paragraph" w:customStyle="1" w:styleId="Footnote">
    <w:name w:val="Footnote"/>
    <w:basedOn w:val="Standard"/>
    <w:rsid w:val="00582DE2"/>
    <w:rPr>
      <w:rFonts w:eastAsia="Calibri"/>
      <w:sz w:val="20"/>
      <w:szCs w:val="20"/>
    </w:rPr>
  </w:style>
  <w:style w:type="paragraph" w:customStyle="1" w:styleId="TableContents">
    <w:name w:val="Table Contents"/>
    <w:basedOn w:val="Standard"/>
    <w:rsid w:val="00582DE2"/>
    <w:pPr>
      <w:suppressLineNumbers/>
    </w:pPr>
  </w:style>
  <w:style w:type="paragraph" w:customStyle="1" w:styleId="TableHeading">
    <w:name w:val="Table Heading"/>
    <w:basedOn w:val="TableContents"/>
    <w:rsid w:val="00582DE2"/>
    <w:pPr>
      <w:jc w:val="center"/>
    </w:pPr>
    <w:rPr>
      <w:b/>
      <w:bCs/>
    </w:rPr>
  </w:style>
  <w:style w:type="paragraph" w:customStyle="1" w:styleId="Headerleft">
    <w:name w:val="Header left"/>
    <w:basedOn w:val="Standard"/>
    <w:rsid w:val="00582DE2"/>
    <w:pPr>
      <w:suppressLineNumbers/>
      <w:tabs>
        <w:tab w:val="center" w:pos="4819"/>
        <w:tab w:val="right" w:pos="9638"/>
      </w:tabs>
    </w:pPr>
  </w:style>
  <w:style w:type="paragraph" w:customStyle="1" w:styleId="ContentsHeading">
    <w:name w:val="Contents Heading"/>
    <w:basedOn w:val="Heading"/>
    <w:rsid w:val="00582DE2"/>
    <w:pPr>
      <w:suppressLineNumbers/>
    </w:pPr>
    <w:rPr>
      <w:b/>
      <w:bCs/>
      <w:sz w:val="32"/>
      <w:szCs w:val="32"/>
    </w:rPr>
  </w:style>
  <w:style w:type="character" w:customStyle="1" w:styleId="WW8Num1z0">
    <w:name w:val="WW8Num1z0"/>
    <w:rsid w:val="00582DE2"/>
  </w:style>
  <w:style w:type="character" w:customStyle="1" w:styleId="WW8Num1z1">
    <w:name w:val="WW8Num1z1"/>
    <w:rsid w:val="00582DE2"/>
  </w:style>
  <w:style w:type="character" w:customStyle="1" w:styleId="WW8Num1z2">
    <w:name w:val="WW8Num1z2"/>
    <w:rsid w:val="00582DE2"/>
  </w:style>
  <w:style w:type="character" w:customStyle="1" w:styleId="WW8Num1z3">
    <w:name w:val="WW8Num1z3"/>
    <w:rsid w:val="00582DE2"/>
  </w:style>
  <w:style w:type="character" w:customStyle="1" w:styleId="WW8Num1z4">
    <w:name w:val="WW8Num1z4"/>
    <w:rsid w:val="00582DE2"/>
  </w:style>
  <w:style w:type="character" w:customStyle="1" w:styleId="WW8Num1z5">
    <w:name w:val="WW8Num1z5"/>
    <w:rsid w:val="00582DE2"/>
  </w:style>
  <w:style w:type="character" w:customStyle="1" w:styleId="WW8Num1z6">
    <w:name w:val="WW8Num1z6"/>
    <w:rsid w:val="00582DE2"/>
  </w:style>
  <w:style w:type="character" w:customStyle="1" w:styleId="WW8Num1z7">
    <w:name w:val="WW8Num1z7"/>
    <w:rsid w:val="00582DE2"/>
  </w:style>
  <w:style w:type="character" w:customStyle="1" w:styleId="WW8Num1z8">
    <w:name w:val="WW8Num1z8"/>
    <w:rsid w:val="00582DE2"/>
  </w:style>
  <w:style w:type="character" w:customStyle="1" w:styleId="WW8Num2z0">
    <w:name w:val="WW8Num2z0"/>
    <w:rsid w:val="00582DE2"/>
    <w:rPr>
      <w:rFonts w:ascii="Symbol" w:eastAsia="Symbol" w:hAnsi="Symbol" w:cs="Symbol"/>
    </w:rPr>
  </w:style>
  <w:style w:type="character" w:customStyle="1" w:styleId="WW8Num3z0">
    <w:name w:val="WW8Num3z0"/>
    <w:rsid w:val="00582DE2"/>
    <w:rPr>
      <w:rFonts w:ascii="Symbol" w:eastAsia="Symbol" w:hAnsi="Symbol" w:cs="Symbol"/>
      <w:color w:val="000000"/>
      <w:sz w:val="21"/>
      <w:szCs w:val="21"/>
    </w:rPr>
  </w:style>
  <w:style w:type="character" w:customStyle="1" w:styleId="WW8Num4z0">
    <w:name w:val="WW8Num4z0"/>
    <w:rsid w:val="00582DE2"/>
    <w:rPr>
      <w:rFonts w:ascii="Symbol" w:eastAsia="Symbol" w:hAnsi="Symbol" w:cs="Symbol"/>
      <w:sz w:val="21"/>
      <w:szCs w:val="21"/>
    </w:rPr>
  </w:style>
  <w:style w:type="character" w:customStyle="1" w:styleId="WW8Num5z0">
    <w:name w:val="WW8Num5z0"/>
    <w:rsid w:val="00582DE2"/>
    <w:rPr>
      <w:rFonts w:ascii="Symbol" w:eastAsia="Symbol" w:hAnsi="Symbol" w:cs="Symbol"/>
      <w:sz w:val="21"/>
      <w:szCs w:val="21"/>
    </w:rPr>
  </w:style>
  <w:style w:type="character" w:customStyle="1" w:styleId="WW8Num6z0">
    <w:name w:val="WW8Num6z0"/>
    <w:rsid w:val="00582DE2"/>
    <w:rPr>
      <w:rFonts w:ascii="Wingdings" w:eastAsia="Wingdings" w:hAnsi="Wingdings" w:cs="Wingdings"/>
      <w:sz w:val="21"/>
      <w:szCs w:val="21"/>
    </w:rPr>
  </w:style>
  <w:style w:type="character" w:customStyle="1" w:styleId="WW8Num6z3">
    <w:name w:val="WW8Num6z3"/>
    <w:rsid w:val="00582DE2"/>
    <w:rPr>
      <w:rFonts w:ascii="Symbol" w:eastAsia="Symbol" w:hAnsi="Symbol" w:cs="Symbol"/>
    </w:rPr>
  </w:style>
  <w:style w:type="character" w:customStyle="1" w:styleId="WW8Num7z0">
    <w:name w:val="WW8Num7z0"/>
    <w:rsid w:val="00582DE2"/>
    <w:rPr>
      <w:rFonts w:ascii="Arial" w:eastAsia="Arial" w:hAnsi="Arial" w:cs="Arial"/>
      <w:sz w:val="21"/>
      <w:szCs w:val="21"/>
    </w:rPr>
  </w:style>
  <w:style w:type="character" w:customStyle="1" w:styleId="WW8Num8z0">
    <w:name w:val="WW8Num8z0"/>
    <w:rsid w:val="00582DE2"/>
    <w:rPr>
      <w:rFonts w:ascii="Wingdings" w:eastAsia="Wingdings" w:hAnsi="Wingdings" w:cs="Wingdings"/>
      <w:kern w:val="3"/>
      <w:sz w:val="21"/>
      <w:szCs w:val="21"/>
      <w:lang w:eastAsia="zh-CN" w:bidi="hi-IN"/>
    </w:rPr>
  </w:style>
  <w:style w:type="character" w:customStyle="1" w:styleId="WW8Num9z0">
    <w:name w:val="WW8Num9z0"/>
    <w:rsid w:val="00582DE2"/>
    <w:rPr>
      <w:rFonts w:cs="Arial"/>
    </w:rPr>
  </w:style>
  <w:style w:type="character" w:customStyle="1" w:styleId="WW8Num10z0">
    <w:name w:val="WW8Num10z0"/>
    <w:rsid w:val="00582DE2"/>
    <w:rPr>
      <w:rFonts w:ascii="Wingdings" w:eastAsia="Wingdings" w:hAnsi="Wingdings" w:cs="Wingdings"/>
      <w:color w:val="000000"/>
      <w:sz w:val="21"/>
      <w:szCs w:val="21"/>
    </w:rPr>
  </w:style>
  <w:style w:type="character" w:customStyle="1" w:styleId="WW8Num10z3">
    <w:name w:val="WW8Num10z3"/>
    <w:rsid w:val="00582DE2"/>
    <w:rPr>
      <w:rFonts w:ascii="Symbol" w:eastAsia="Symbol" w:hAnsi="Symbol" w:cs="Symbol"/>
    </w:rPr>
  </w:style>
  <w:style w:type="character" w:customStyle="1" w:styleId="WW8Num11z0">
    <w:name w:val="WW8Num11z0"/>
    <w:rsid w:val="00582DE2"/>
  </w:style>
  <w:style w:type="character" w:customStyle="1" w:styleId="WW8Num12z0">
    <w:name w:val="WW8Num12z0"/>
    <w:rsid w:val="00582DE2"/>
  </w:style>
  <w:style w:type="character" w:customStyle="1" w:styleId="WW8Num13z0">
    <w:name w:val="WW8Num13z0"/>
    <w:rsid w:val="00582DE2"/>
    <w:rPr>
      <w:rFonts w:ascii="Arial" w:eastAsia="Arial" w:hAnsi="Arial" w:cs="Arial"/>
      <w:sz w:val="21"/>
      <w:szCs w:val="21"/>
    </w:rPr>
  </w:style>
  <w:style w:type="character" w:customStyle="1" w:styleId="WW8Num14z0">
    <w:name w:val="WW8Num14z0"/>
    <w:rsid w:val="00582DE2"/>
    <w:rPr>
      <w:rFonts w:ascii="Symbol" w:eastAsia="Symbol" w:hAnsi="Symbol" w:cs="Symbol"/>
    </w:rPr>
  </w:style>
  <w:style w:type="character" w:customStyle="1" w:styleId="WW8Num15z0">
    <w:name w:val="WW8Num15z0"/>
    <w:rsid w:val="00582DE2"/>
    <w:rPr>
      <w:rFonts w:ascii="Wingdings" w:eastAsia="Wingdings" w:hAnsi="Wingdings" w:cs="Wingdings"/>
      <w:kern w:val="3"/>
      <w:sz w:val="21"/>
      <w:szCs w:val="21"/>
      <w:lang w:bidi="hi-IN"/>
    </w:rPr>
  </w:style>
  <w:style w:type="character" w:customStyle="1" w:styleId="WW8Num16z0">
    <w:name w:val="WW8Num16z0"/>
    <w:rsid w:val="00582DE2"/>
    <w:rPr>
      <w:rFonts w:ascii="Symbol" w:eastAsia="Symbol" w:hAnsi="Symbol" w:cs="Symbol"/>
      <w:sz w:val="20"/>
    </w:rPr>
  </w:style>
  <w:style w:type="character" w:customStyle="1" w:styleId="WW8Num16z1">
    <w:name w:val="WW8Num16z1"/>
    <w:rsid w:val="00582DE2"/>
  </w:style>
  <w:style w:type="character" w:customStyle="1" w:styleId="WW8Num2z1">
    <w:name w:val="WW8Num2z1"/>
    <w:rsid w:val="00582DE2"/>
    <w:rPr>
      <w:rFonts w:ascii="Courier New" w:eastAsia="Courier New" w:hAnsi="Courier New" w:cs="Courier New"/>
    </w:rPr>
  </w:style>
  <w:style w:type="character" w:customStyle="1" w:styleId="WW8Num2z2">
    <w:name w:val="WW8Num2z2"/>
    <w:rsid w:val="00582DE2"/>
    <w:rPr>
      <w:rFonts w:ascii="Wingdings" w:eastAsia="Wingdings" w:hAnsi="Wingdings" w:cs="Wingdings"/>
    </w:rPr>
  </w:style>
  <w:style w:type="character" w:customStyle="1" w:styleId="WW8Num3z1">
    <w:name w:val="WW8Num3z1"/>
    <w:rsid w:val="00582DE2"/>
  </w:style>
  <w:style w:type="character" w:customStyle="1" w:styleId="WW8Num3z2">
    <w:name w:val="WW8Num3z2"/>
    <w:rsid w:val="00582DE2"/>
  </w:style>
  <w:style w:type="character" w:customStyle="1" w:styleId="WW8Num3z3">
    <w:name w:val="WW8Num3z3"/>
    <w:rsid w:val="00582DE2"/>
  </w:style>
  <w:style w:type="character" w:customStyle="1" w:styleId="WW8Num3z4">
    <w:name w:val="WW8Num3z4"/>
    <w:rsid w:val="00582DE2"/>
  </w:style>
  <w:style w:type="character" w:customStyle="1" w:styleId="WW8Num3z5">
    <w:name w:val="WW8Num3z5"/>
    <w:rsid w:val="00582DE2"/>
  </w:style>
  <w:style w:type="character" w:customStyle="1" w:styleId="WW8Num3z6">
    <w:name w:val="WW8Num3z6"/>
    <w:rsid w:val="00582DE2"/>
  </w:style>
  <w:style w:type="character" w:customStyle="1" w:styleId="WW8Num3z7">
    <w:name w:val="WW8Num3z7"/>
    <w:rsid w:val="00582DE2"/>
  </w:style>
  <w:style w:type="character" w:customStyle="1" w:styleId="WW8Num3z8">
    <w:name w:val="WW8Num3z8"/>
    <w:rsid w:val="00582DE2"/>
  </w:style>
  <w:style w:type="character" w:customStyle="1" w:styleId="WW8Num4z1">
    <w:name w:val="WW8Num4z1"/>
    <w:rsid w:val="00582DE2"/>
  </w:style>
  <w:style w:type="character" w:customStyle="1" w:styleId="WW8Num4z2">
    <w:name w:val="WW8Num4z2"/>
    <w:rsid w:val="00582DE2"/>
  </w:style>
  <w:style w:type="character" w:customStyle="1" w:styleId="WW8Num4z3">
    <w:name w:val="WW8Num4z3"/>
    <w:rsid w:val="00582DE2"/>
  </w:style>
  <w:style w:type="character" w:customStyle="1" w:styleId="WW8Num4z4">
    <w:name w:val="WW8Num4z4"/>
    <w:rsid w:val="00582DE2"/>
  </w:style>
  <w:style w:type="character" w:customStyle="1" w:styleId="WW8Num4z5">
    <w:name w:val="WW8Num4z5"/>
    <w:rsid w:val="00582DE2"/>
  </w:style>
  <w:style w:type="character" w:customStyle="1" w:styleId="WW8Num4z6">
    <w:name w:val="WW8Num4z6"/>
    <w:rsid w:val="00582DE2"/>
  </w:style>
  <w:style w:type="character" w:customStyle="1" w:styleId="WW8Num4z7">
    <w:name w:val="WW8Num4z7"/>
    <w:rsid w:val="00582DE2"/>
  </w:style>
  <w:style w:type="character" w:customStyle="1" w:styleId="WW8Num4z8">
    <w:name w:val="WW8Num4z8"/>
    <w:rsid w:val="00582DE2"/>
  </w:style>
  <w:style w:type="character" w:customStyle="1" w:styleId="WW8Num5z1">
    <w:name w:val="WW8Num5z1"/>
    <w:rsid w:val="00582DE2"/>
    <w:rPr>
      <w:rFonts w:ascii="Courier New" w:eastAsia="Courier New" w:hAnsi="Courier New" w:cs="Courier New"/>
    </w:rPr>
  </w:style>
  <w:style w:type="character" w:customStyle="1" w:styleId="WW8Num5z2">
    <w:name w:val="WW8Num5z2"/>
    <w:rsid w:val="00582DE2"/>
    <w:rPr>
      <w:rFonts w:ascii="Wingdings" w:eastAsia="Wingdings" w:hAnsi="Wingdings" w:cs="Wingdings"/>
    </w:rPr>
  </w:style>
  <w:style w:type="character" w:customStyle="1" w:styleId="WW8Num7z1">
    <w:name w:val="WW8Num7z1"/>
    <w:rsid w:val="00582DE2"/>
    <w:rPr>
      <w:rFonts w:ascii="Wingdings" w:eastAsia="Wingdings" w:hAnsi="Wingdings" w:cs="Wingdings"/>
    </w:rPr>
  </w:style>
  <w:style w:type="character" w:customStyle="1" w:styleId="WW8Num7z4">
    <w:name w:val="WW8Num7z4"/>
    <w:rsid w:val="00582DE2"/>
    <w:rPr>
      <w:rFonts w:ascii="Courier New" w:eastAsia="Courier New" w:hAnsi="Courier New" w:cs="Courier New"/>
    </w:rPr>
  </w:style>
  <w:style w:type="character" w:customStyle="1" w:styleId="WW8Num8z1">
    <w:name w:val="WW8Num8z1"/>
    <w:rsid w:val="00582DE2"/>
    <w:rPr>
      <w:rFonts w:ascii="Courier New" w:eastAsia="Courier New" w:hAnsi="Courier New" w:cs="Courier New"/>
    </w:rPr>
  </w:style>
  <w:style w:type="character" w:customStyle="1" w:styleId="WW8Num8z2">
    <w:name w:val="WW8Num8z2"/>
    <w:rsid w:val="00582DE2"/>
    <w:rPr>
      <w:rFonts w:ascii="Wingdings" w:eastAsia="Wingdings" w:hAnsi="Wingdings" w:cs="Wingdings"/>
    </w:rPr>
  </w:style>
  <w:style w:type="character" w:customStyle="1" w:styleId="WW8Num8z3">
    <w:name w:val="WW8Num8z3"/>
    <w:rsid w:val="00582DE2"/>
    <w:rPr>
      <w:rFonts w:ascii="Symbol" w:eastAsia="Symbol" w:hAnsi="Symbol" w:cs="Symbol"/>
    </w:rPr>
  </w:style>
  <w:style w:type="character" w:customStyle="1" w:styleId="WW8Num9z1">
    <w:name w:val="WW8Num9z1"/>
    <w:rsid w:val="00582DE2"/>
    <w:rPr>
      <w:lang w:val="it-IT"/>
    </w:rPr>
  </w:style>
  <w:style w:type="character" w:customStyle="1" w:styleId="WW8Num10z4">
    <w:name w:val="WW8Num10z4"/>
    <w:rsid w:val="00582DE2"/>
    <w:rPr>
      <w:rFonts w:ascii="Courier New" w:eastAsia="Courier New" w:hAnsi="Courier New" w:cs="Courier New"/>
    </w:rPr>
  </w:style>
  <w:style w:type="character" w:customStyle="1" w:styleId="WW8Num11z1">
    <w:name w:val="WW8Num11z1"/>
    <w:rsid w:val="00582DE2"/>
    <w:rPr>
      <w:rFonts w:ascii="Courier New" w:eastAsia="Courier New" w:hAnsi="Courier New" w:cs="Courier New"/>
    </w:rPr>
  </w:style>
  <w:style w:type="character" w:customStyle="1" w:styleId="WW8Num11z2">
    <w:name w:val="WW8Num11z2"/>
    <w:rsid w:val="00582DE2"/>
    <w:rPr>
      <w:rFonts w:ascii="Wingdings" w:eastAsia="Wingdings" w:hAnsi="Wingdings" w:cs="Wingdings"/>
    </w:rPr>
  </w:style>
  <w:style w:type="character" w:customStyle="1" w:styleId="WW8Num12z1">
    <w:name w:val="WW8Num12z1"/>
    <w:rsid w:val="00582DE2"/>
    <w:rPr>
      <w:rFonts w:ascii="Courier New" w:eastAsia="Courier New" w:hAnsi="Courier New" w:cs="Courier New"/>
    </w:rPr>
  </w:style>
  <w:style w:type="character" w:customStyle="1" w:styleId="WW8Num12z3">
    <w:name w:val="WW8Num12z3"/>
    <w:rsid w:val="00582DE2"/>
    <w:rPr>
      <w:rFonts w:ascii="Symbol" w:eastAsia="Symbol" w:hAnsi="Symbol" w:cs="Symbol"/>
    </w:rPr>
  </w:style>
  <w:style w:type="character" w:customStyle="1" w:styleId="WW8Num13z1">
    <w:name w:val="WW8Num13z1"/>
    <w:rsid w:val="00582DE2"/>
    <w:rPr>
      <w:rFonts w:ascii="Courier New" w:eastAsia="Courier New" w:hAnsi="Courier New" w:cs="Courier New"/>
    </w:rPr>
  </w:style>
  <w:style w:type="character" w:customStyle="1" w:styleId="WW8Num13z2">
    <w:name w:val="WW8Num13z2"/>
    <w:rsid w:val="00582DE2"/>
    <w:rPr>
      <w:rFonts w:ascii="Wingdings" w:eastAsia="Wingdings" w:hAnsi="Wingdings" w:cs="Wingdings"/>
    </w:rPr>
  </w:style>
  <w:style w:type="character" w:customStyle="1" w:styleId="WW8Num14z1">
    <w:name w:val="WW8Num14z1"/>
    <w:rsid w:val="00582DE2"/>
    <w:rPr>
      <w:rFonts w:ascii="Courier New" w:eastAsia="Courier New" w:hAnsi="Courier New" w:cs="Courier New"/>
    </w:rPr>
  </w:style>
  <w:style w:type="character" w:customStyle="1" w:styleId="WW8Num14z2">
    <w:name w:val="WW8Num14z2"/>
    <w:rsid w:val="00582DE2"/>
    <w:rPr>
      <w:rFonts w:ascii="Wingdings" w:eastAsia="Wingdings" w:hAnsi="Wingdings" w:cs="Wingdings"/>
    </w:rPr>
  </w:style>
  <w:style w:type="character" w:customStyle="1" w:styleId="WW8Num14z3">
    <w:name w:val="WW8Num14z3"/>
    <w:rsid w:val="00582DE2"/>
    <w:rPr>
      <w:rFonts w:ascii="Symbol" w:eastAsia="Symbol" w:hAnsi="Symbol" w:cs="Symbol"/>
    </w:rPr>
  </w:style>
  <w:style w:type="character" w:customStyle="1" w:styleId="WW8Num15z3">
    <w:name w:val="WW8Num15z3"/>
    <w:rsid w:val="00582DE2"/>
    <w:rPr>
      <w:rFonts w:ascii="Symbol" w:eastAsia="Symbol" w:hAnsi="Symbol" w:cs="Symbol"/>
    </w:rPr>
  </w:style>
  <w:style w:type="character" w:customStyle="1" w:styleId="WW8Num17z0">
    <w:name w:val="WW8Num17z0"/>
    <w:rsid w:val="00582DE2"/>
    <w:rPr>
      <w:rFonts w:ascii="Symbol" w:eastAsia="Symbol" w:hAnsi="Symbol" w:cs="Symbol"/>
      <w:sz w:val="20"/>
    </w:rPr>
  </w:style>
  <w:style w:type="character" w:customStyle="1" w:styleId="WW8Num17z1">
    <w:name w:val="WW8Num17z1"/>
    <w:rsid w:val="00582DE2"/>
    <w:rPr>
      <w:rFonts w:ascii="Courier New" w:eastAsia="Courier New" w:hAnsi="Courier New" w:cs="Courier New"/>
      <w:sz w:val="20"/>
    </w:rPr>
  </w:style>
  <w:style w:type="character" w:customStyle="1" w:styleId="WW8Num17z2">
    <w:name w:val="WW8Num17z2"/>
    <w:rsid w:val="00582DE2"/>
    <w:rPr>
      <w:rFonts w:ascii="Wingdings" w:eastAsia="Wingdings" w:hAnsi="Wingdings" w:cs="Wingdings"/>
      <w:sz w:val="20"/>
    </w:rPr>
  </w:style>
  <w:style w:type="character" w:customStyle="1" w:styleId="WW8Num18z0">
    <w:name w:val="WW8Num18z0"/>
    <w:rsid w:val="00582DE2"/>
    <w:rPr>
      <w:rFonts w:ascii="Arial" w:eastAsia="Arial" w:hAnsi="Arial" w:cs="Arial"/>
      <w:sz w:val="21"/>
      <w:szCs w:val="21"/>
    </w:rPr>
  </w:style>
  <w:style w:type="character" w:customStyle="1" w:styleId="WW8Num18z1">
    <w:name w:val="WW8Num18z1"/>
    <w:rsid w:val="00582DE2"/>
    <w:rPr>
      <w:rFonts w:ascii="Courier New" w:eastAsia="Courier New" w:hAnsi="Courier New" w:cs="Courier New"/>
    </w:rPr>
  </w:style>
  <w:style w:type="character" w:customStyle="1" w:styleId="WW8Num18z2">
    <w:name w:val="WW8Num18z2"/>
    <w:rsid w:val="00582DE2"/>
    <w:rPr>
      <w:rFonts w:ascii="Wingdings" w:eastAsia="Wingdings" w:hAnsi="Wingdings" w:cs="Wingdings"/>
    </w:rPr>
  </w:style>
  <w:style w:type="character" w:customStyle="1" w:styleId="WW8Num18z3">
    <w:name w:val="WW8Num18z3"/>
    <w:rsid w:val="00582DE2"/>
    <w:rPr>
      <w:rFonts w:ascii="Symbol" w:eastAsia="Symbol" w:hAnsi="Symbol" w:cs="Symbol"/>
    </w:rPr>
  </w:style>
  <w:style w:type="character" w:customStyle="1" w:styleId="WW8Num19z0">
    <w:name w:val="WW8Num19z0"/>
    <w:rsid w:val="00582DE2"/>
    <w:rPr>
      <w:rFonts w:ascii="Wingdings" w:eastAsia="Arial Unicode MS" w:hAnsi="Wingdings" w:cs="Wingdings"/>
      <w:kern w:val="3"/>
      <w:sz w:val="21"/>
      <w:szCs w:val="21"/>
      <w:lang w:eastAsia="zh-CN" w:bidi="hi-IN"/>
    </w:rPr>
  </w:style>
  <w:style w:type="character" w:customStyle="1" w:styleId="WW8Num19z1">
    <w:name w:val="WW8Num19z1"/>
    <w:rsid w:val="00582DE2"/>
    <w:rPr>
      <w:rFonts w:ascii="Courier New" w:eastAsia="Courier New" w:hAnsi="Courier New" w:cs="Courier New"/>
    </w:rPr>
  </w:style>
  <w:style w:type="character" w:customStyle="1" w:styleId="WW8Num19z3">
    <w:name w:val="WW8Num19z3"/>
    <w:rsid w:val="00582DE2"/>
    <w:rPr>
      <w:rFonts w:ascii="Symbol" w:eastAsia="Symbol" w:hAnsi="Symbol" w:cs="Symbol"/>
    </w:rPr>
  </w:style>
  <w:style w:type="character" w:customStyle="1" w:styleId="WW8Num20z0">
    <w:name w:val="WW8Num20z0"/>
    <w:rsid w:val="00582DE2"/>
    <w:rPr>
      <w:b/>
      <w:i w:val="0"/>
    </w:rPr>
  </w:style>
  <w:style w:type="character" w:customStyle="1" w:styleId="WW8Num20z1">
    <w:name w:val="WW8Num20z1"/>
    <w:rsid w:val="00582DE2"/>
  </w:style>
  <w:style w:type="character" w:customStyle="1" w:styleId="WW8Num20z2">
    <w:name w:val="WW8Num20z2"/>
    <w:rsid w:val="00582DE2"/>
  </w:style>
  <w:style w:type="character" w:customStyle="1" w:styleId="WW8Num20z3">
    <w:name w:val="WW8Num20z3"/>
    <w:rsid w:val="00582DE2"/>
  </w:style>
  <w:style w:type="character" w:customStyle="1" w:styleId="WW8Num20z4">
    <w:name w:val="WW8Num20z4"/>
    <w:rsid w:val="00582DE2"/>
  </w:style>
  <w:style w:type="character" w:customStyle="1" w:styleId="WW8Num20z5">
    <w:name w:val="WW8Num20z5"/>
    <w:rsid w:val="00582DE2"/>
  </w:style>
  <w:style w:type="character" w:customStyle="1" w:styleId="WW8Num20z6">
    <w:name w:val="WW8Num20z6"/>
    <w:rsid w:val="00582DE2"/>
  </w:style>
  <w:style w:type="character" w:customStyle="1" w:styleId="WW8Num20z7">
    <w:name w:val="WW8Num20z7"/>
    <w:rsid w:val="00582DE2"/>
  </w:style>
  <w:style w:type="character" w:customStyle="1" w:styleId="WW8Num20z8">
    <w:name w:val="WW8Num20z8"/>
    <w:rsid w:val="00582DE2"/>
  </w:style>
  <w:style w:type="character" w:customStyle="1" w:styleId="WW8Num21z0">
    <w:name w:val="WW8Num21z0"/>
    <w:rsid w:val="00582DE2"/>
    <w:rPr>
      <w:rFonts w:cs="Arial"/>
    </w:rPr>
  </w:style>
  <w:style w:type="character" w:customStyle="1" w:styleId="WW8Num22z0">
    <w:name w:val="WW8Num22z0"/>
    <w:rsid w:val="00582DE2"/>
    <w:rPr>
      <w:rFonts w:ascii="Symbol" w:eastAsia="Symbol" w:hAnsi="Symbol" w:cs="Symbol"/>
      <w:sz w:val="20"/>
    </w:rPr>
  </w:style>
  <w:style w:type="character" w:customStyle="1" w:styleId="WW8Num22z1">
    <w:name w:val="WW8Num22z1"/>
    <w:rsid w:val="00582DE2"/>
    <w:rPr>
      <w:rFonts w:ascii="Courier New" w:eastAsia="Courier New" w:hAnsi="Courier New" w:cs="Courier New"/>
      <w:sz w:val="20"/>
    </w:rPr>
  </w:style>
  <w:style w:type="character" w:customStyle="1" w:styleId="WW8Num22z2">
    <w:name w:val="WW8Num22z2"/>
    <w:rsid w:val="00582DE2"/>
    <w:rPr>
      <w:rFonts w:ascii="Wingdings" w:eastAsia="Wingdings" w:hAnsi="Wingdings" w:cs="Wingdings"/>
      <w:sz w:val="20"/>
    </w:rPr>
  </w:style>
  <w:style w:type="character" w:customStyle="1" w:styleId="WW8Num23z0">
    <w:name w:val="WW8Num23z0"/>
    <w:rsid w:val="00582DE2"/>
    <w:rPr>
      <w:rFonts w:ascii="Symbol" w:eastAsia="Symbol" w:hAnsi="Symbol" w:cs="Symbol"/>
      <w:sz w:val="20"/>
    </w:rPr>
  </w:style>
  <w:style w:type="character" w:customStyle="1" w:styleId="WW8Num23z1">
    <w:name w:val="WW8Num23z1"/>
    <w:rsid w:val="00582DE2"/>
  </w:style>
  <w:style w:type="character" w:customStyle="1" w:styleId="WW8Num24z0">
    <w:name w:val="WW8Num24z0"/>
    <w:rsid w:val="00582DE2"/>
    <w:rPr>
      <w:rFonts w:ascii="Wingdings" w:eastAsia="Wingdings" w:hAnsi="Wingdings" w:cs="Wingdings"/>
      <w:color w:val="000000"/>
      <w:sz w:val="21"/>
      <w:szCs w:val="21"/>
    </w:rPr>
  </w:style>
  <w:style w:type="character" w:customStyle="1" w:styleId="WW8Num24z3">
    <w:name w:val="WW8Num24z3"/>
    <w:rsid w:val="00582DE2"/>
    <w:rPr>
      <w:rFonts w:ascii="Symbol" w:eastAsia="Symbol" w:hAnsi="Symbol" w:cs="Symbol"/>
    </w:rPr>
  </w:style>
  <w:style w:type="character" w:customStyle="1" w:styleId="WW8Num25z0">
    <w:name w:val="WW8Num25z0"/>
    <w:rsid w:val="00582DE2"/>
  </w:style>
  <w:style w:type="character" w:customStyle="1" w:styleId="WW8Num26z0">
    <w:name w:val="WW8Num26z0"/>
    <w:rsid w:val="00582DE2"/>
    <w:rPr>
      <w:rFonts w:ascii="Wingdings" w:eastAsia="Wingdings" w:hAnsi="Wingdings" w:cs="Wingdings"/>
    </w:rPr>
  </w:style>
  <w:style w:type="character" w:customStyle="1" w:styleId="WW8Num26z1">
    <w:name w:val="WW8Num26z1"/>
    <w:rsid w:val="00582DE2"/>
    <w:rPr>
      <w:rFonts w:ascii="Courier New" w:eastAsia="Courier New" w:hAnsi="Courier New" w:cs="Courier New"/>
    </w:rPr>
  </w:style>
  <w:style w:type="character" w:customStyle="1" w:styleId="WW8Num26z3">
    <w:name w:val="WW8Num26z3"/>
    <w:rsid w:val="00582DE2"/>
    <w:rPr>
      <w:rFonts w:ascii="Symbol" w:eastAsia="Symbol" w:hAnsi="Symbol" w:cs="Symbol"/>
    </w:rPr>
  </w:style>
  <w:style w:type="character" w:customStyle="1" w:styleId="WW8Num27z0">
    <w:name w:val="WW8Num27z0"/>
    <w:rsid w:val="00582DE2"/>
  </w:style>
  <w:style w:type="character" w:customStyle="1" w:styleId="WW8Num27z1">
    <w:name w:val="WW8Num27z1"/>
    <w:rsid w:val="00582DE2"/>
  </w:style>
  <w:style w:type="character" w:customStyle="1" w:styleId="WW8Num27z2">
    <w:name w:val="WW8Num27z2"/>
    <w:rsid w:val="00582DE2"/>
  </w:style>
  <w:style w:type="character" w:customStyle="1" w:styleId="WW8Num27z3">
    <w:name w:val="WW8Num27z3"/>
    <w:rsid w:val="00582DE2"/>
  </w:style>
  <w:style w:type="character" w:customStyle="1" w:styleId="WW8Num27z4">
    <w:name w:val="WW8Num27z4"/>
    <w:rsid w:val="00582DE2"/>
  </w:style>
  <w:style w:type="character" w:customStyle="1" w:styleId="WW8Num27z5">
    <w:name w:val="WW8Num27z5"/>
    <w:rsid w:val="00582DE2"/>
  </w:style>
  <w:style w:type="character" w:customStyle="1" w:styleId="WW8Num27z6">
    <w:name w:val="WW8Num27z6"/>
    <w:rsid w:val="00582DE2"/>
  </w:style>
  <w:style w:type="character" w:customStyle="1" w:styleId="WW8Num27z7">
    <w:name w:val="WW8Num27z7"/>
    <w:rsid w:val="00582DE2"/>
  </w:style>
  <w:style w:type="character" w:customStyle="1" w:styleId="WW8Num27z8">
    <w:name w:val="WW8Num27z8"/>
    <w:rsid w:val="00582DE2"/>
  </w:style>
  <w:style w:type="character" w:customStyle="1" w:styleId="WW8Num28z0">
    <w:name w:val="WW8Num28z0"/>
    <w:rsid w:val="00582DE2"/>
  </w:style>
  <w:style w:type="character" w:customStyle="1" w:styleId="WW8Num29z0">
    <w:name w:val="WW8Num29z0"/>
    <w:rsid w:val="00582DE2"/>
  </w:style>
  <w:style w:type="character" w:customStyle="1" w:styleId="WW8Num30z0">
    <w:name w:val="WW8Num30z0"/>
    <w:rsid w:val="00582DE2"/>
    <w:rPr>
      <w:rFonts w:ascii="Arial" w:eastAsia="Arial" w:hAnsi="Arial" w:cs="Arial"/>
      <w:sz w:val="21"/>
      <w:szCs w:val="21"/>
    </w:rPr>
  </w:style>
  <w:style w:type="character" w:customStyle="1" w:styleId="WW8Num30z1">
    <w:name w:val="WW8Num30z1"/>
    <w:rsid w:val="00582DE2"/>
    <w:rPr>
      <w:rFonts w:ascii="Trebuchet MS" w:eastAsia="Calibri" w:hAnsi="Trebuchet MS" w:cs="Times New Roman"/>
    </w:rPr>
  </w:style>
  <w:style w:type="character" w:customStyle="1" w:styleId="WW8Num30z2">
    <w:name w:val="WW8Num30z2"/>
    <w:rsid w:val="00582DE2"/>
  </w:style>
  <w:style w:type="character" w:customStyle="1" w:styleId="WW8Num30z3">
    <w:name w:val="WW8Num30z3"/>
    <w:rsid w:val="00582DE2"/>
  </w:style>
  <w:style w:type="character" w:customStyle="1" w:styleId="WW8Num30z4">
    <w:name w:val="WW8Num30z4"/>
    <w:rsid w:val="00582DE2"/>
  </w:style>
  <w:style w:type="character" w:customStyle="1" w:styleId="WW8Num30z5">
    <w:name w:val="WW8Num30z5"/>
    <w:rsid w:val="00582DE2"/>
  </w:style>
  <w:style w:type="character" w:customStyle="1" w:styleId="WW8Num30z6">
    <w:name w:val="WW8Num30z6"/>
    <w:rsid w:val="00582DE2"/>
  </w:style>
  <w:style w:type="character" w:customStyle="1" w:styleId="WW8Num30z7">
    <w:name w:val="WW8Num30z7"/>
    <w:rsid w:val="00582DE2"/>
  </w:style>
  <w:style w:type="character" w:customStyle="1" w:styleId="WW8Num30z8">
    <w:name w:val="WW8Num30z8"/>
    <w:rsid w:val="00582DE2"/>
  </w:style>
  <w:style w:type="character" w:customStyle="1" w:styleId="WW8Num31z0">
    <w:name w:val="WW8Num31z0"/>
    <w:rsid w:val="00582DE2"/>
    <w:rPr>
      <w:rFonts w:ascii="Symbol" w:eastAsia="Symbol" w:hAnsi="Symbol" w:cs="Symbol"/>
    </w:rPr>
  </w:style>
  <w:style w:type="character" w:customStyle="1" w:styleId="WW8Num31z1">
    <w:name w:val="WW8Num31z1"/>
    <w:rsid w:val="00582DE2"/>
    <w:rPr>
      <w:rFonts w:ascii="Courier New" w:eastAsia="Courier New" w:hAnsi="Courier New" w:cs="Courier New"/>
    </w:rPr>
  </w:style>
  <w:style w:type="character" w:customStyle="1" w:styleId="WW8Num31z2">
    <w:name w:val="WW8Num31z2"/>
    <w:rsid w:val="00582DE2"/>
    <w:rPr>
      <w:rFonts w:ascii="Wingdings" w:eastAsia="Wingdings" w:hAnsi="Wingdings" w:cs="Wingdings"/>
    </w:rPr>
  </w:style>
  <w:style w:type="character" w:customStyle="1" w:styleId="WW8Num32z0">
    <w:name w:val="WW8Num32z0"/>
    <w:rsid w:val="00582DE2"/>
    <w:rPr>
      <w:rFonts w:ascii="Symbol" w:eastAsia="Symbol" w:hAnsi="Symbol" w:cs="Symbol"/>
    </w:rPr>
  </w:style>
  <w:style w:type="character" w:customStyle="1" w:styleId="WW8Num32z1">
    <w:name w:val="WW8Num32z1"/>
    <w:rsid w:val="00582DE2"/>
    <w:rPr>
      <w:rFonts w:ascii="Trebuchet MS" w:eastAsia="Times New Roman" w:hAnsi="Trebuchet MS" w:cs="Times New Roman"/>
    </w:rPr>
  </w:style>
  <w:style w:type="character" w:customStyle="1" w:styleId="WW8Num32z2">
    <w:name w:val="WW8Num32z2"/>
    <w:rsid w:val="00582DE2"/>
    <w:rPr>
      <w:rFonts w:ascii="Wingdings" w:eastAsia="Wingdings" w:hAnsi="Wingdings" w:cs="Wingdings"/>
    </w:rPr>
  </w:style>
  <w:style w:type="character" w:customStyle="1" w:styleId="WW8Num32z4">
    <w:name w:val="WW8Num32z4"/>
    <w:rsid w:val="00582DE2"/>
    <w:rPr>
      <w:rFonts w:ascii="Courier New" w:eastAsia="Courier New" w:hAnsi="Courier New" w:cs="Courier New"/>
    </w:rPr>
  </w:style>
  <w:style w:type="character" w:customStyle="1" w:styleId="WW8Num33z0">
    <w:name w:val="WW8Num33z0"/>
    <w:rsid w:val="00582DE2"/>
    <w:rPr>
      <w:rFonts w:ascii="Symbol" w:eastAsia="Symbol" w:hAnsi="Symbol" w:cs="Symbol"/>
    </w:rPr>
  </w:style>
  <w:style w:type="character" w:customStyle="1" w:styleId="WW8Num33z1">
    <w:name w:val="WW8Num33z1"/>
    <w:rsid w:val="00582DE2"/>
    <w:rPr>
      <w:rFonts w:ascii="Courier New" w:eastAsia="Courier New" w:hAnsi="Courier New" w:cs="Courier New"/>
    </w:rPr>
  </w:style>
  <w:style w:type="character" w:customStyle="1" w:styleId="WW8Num33z2">
    <w:name w:val="WW8Num33z2"/>
    <w:rsid w:val="00582DE2"/>
    <w:rPr>
      <w:rFonts w:ascii="Wingdings" w:eastAsia="Wingdings" w:hAnsi="Wingdings" w:cs="Wingdings"/>
    </w:rPr>
  </w:style>
  <w:style w:type="character" w:customStyle="1" w:styleId="WW8Num34z0">
    <w:name w:val="WW8Num34z0"/>
    <w:rsid w:val="00582DE2"/>
    <w:rPr>
      <w:rFonts w:ascii="Wingdings" w:eastAsia="Wingdings" w:hAnsi="Wingdings" w:cs="Wingdings"/>
      <w:kern w:val="3"/>
      <w:sz w:val="21"/>
      <w:szCs w:val="21"/>
      <w:lang w:bidi="hi-IN"/>
    </w:rPr>
  </w:style>
  <w:style w:type="character" w:customStyle="1" w:styleId="WW8Num34z1">
    <w:name w:val="WW8Num34z1"/>
    <w:rsid w:val="00582DE2"/>
    <w:rPr>
      <w:rFonts w:ascii="Courier New" w:eastAsia="Courier New" w:hAnsi="Courier New" w:cs="Courier New"/>
    </w:rPr>
  </w:style>
  <w:style w:type="character" w:customStyle="1" w:styleId="WW8Num34z3">
    <w:name w:val="WW8Num34z3"/>
    <w:rsid w:val="00582DE2"/>
    <w:rPr>
      <w:rFonts w:ascii="Symbol" w:eastAsia="Symbol" w:hAnsi="Symbol" w:cs="Symbol"/>
    </w:rPr>
  </w:style>
  <w:style w:type="character" w:customStyle="1" w:styleId="IntestazioneCarattere">
    <w:name w:val="Intestazione Carattere"/>
    <w:basedOn w:val="Carpredefinitoparagrafo"/>
    <w:rsid w:val="00582DE2"/>
  </w:style>
  <w:style w:type="character" w:customStyle="1" w:styleId="Internetlink">
    <w:name w:val="Internet link"/>
    <w:rsid w:val="00582DE2"/>
    <w:rPr>
      <w:color w:val="0000FF"/>
      <w:u w:val="single"/>
    </w:rPr>
  </w:style>
  <w:style w:type="character" w:customStyle="1" w:styleId="apple-converted-space">
    <w:name w:val="apple-converted-space"/>
    <w:basedOn w:val="Carpredefinitoparagrafo"/>
    <w:rsid w:val="00582DE2"/>
  </w:style>
  <w:style w:type="character" w:customStyle="1" w:styleId="il">
    <w:name w:val="il"/>
    <w:basedOn w:val="Carpredefinitoparagrafo"/>
    <w:rsid w:val="00582DE2"/>
  </w:style>
  <w:style w:type="character" w:customStyle="1" w:styleId="StrongEmphasis">
    <w:name w:val="Strong Emphasis"/>
    <w:rsid w:val="00582DE2"/>
    <w:rPr>
      <w:b/>
      <w:bCs/>
    </w:rPr>
  </w:style>
  <w:style w:type="character" w:styleId="Rimandocommento">
    <w:name w:val="annotation reference"/>
    <w:rsid w:val="00582DE2"/>
    <w:rPr>
      <w:sz w:val="16"/>
      <w:szCs w:val="16"/>
    </w:rPr>
  </w:style>
  <w:style w:type="character" w:customStyle="1" w:styleId="TestonotaapidipaginaCarattere">
    <w:name w:val="Testo nota a piè di pagina Carattere"/>
    <w:rsid w:val="00582DE2"/>
    <w:rPr>
      <w:rFonts w:eastAsia="Calibri"/>
    </w:rPr>
  </w:style>
  <w:style w:type="character" w:customStyle="1" w:styleId="FootnoteSymbol">
    <w:name w:val="Footnote Symbol"/>
    <w:rsid w:val="00582DE2"/>
    <w:rPr>
      <w:position w:val="0"/>
      <w:vertAlign w:val="superscript"/>
    </w:rPr>
  </w:style>
  <w:style w:type="character" w:customStyle="1" w:styleId="Footnoteanchor">
    <w:name w:val="Footnote anchor"/>
    <w:rsid w:val="00582DE2"/>
    <w:rPr>
      <w:position w:val="0"/>
      <w:vertAlign w:val="superscript"/>
    </w:rPr>
  </w:style>
  <w:style w:type="character" w:customStyle="1" w:styleId="EndnoteSymbol">
    <w:name w:val="Endnote Symbol"/>
    <w:rsid w:val="00582DE2"/>
    <w:rPr>
      <w:position w:val="0"/>
      <w:vertAlign w:val="superscript"/>
    </w:rPr>
  </w:style>
  <w:style w:type="character" w:customStyle="1" w:styleId="WW-Caratterinotadichiusura">
    <w:name w:val="WW-Caratteri nota di chiusura"/>
    <w:rsid w:val="00582DE2"/>
  </w:style>
  <w:style w:type="character" w:customStyle="1" w:styleId="BulletSymbols">
    <w:name w:val="Bullet Symbols"/>
    <w:rsid w:val="00582DE2"/>
    <w:rPr>
      <w:rFonts w:ascii="OpenSymbol" w:eastAsia="OpenSymbol" w:hAnsi="OpenSymbol" w:cs="OpenSymbol"/>
    </w:rPr>
  </w:style>
  <w:style w:type="character" w:customStyle="1" w:styleId="IndexLink">
    <w:name w:val="Index Link"/>
    <w:rsid w:val="00582DE2"/>
  </w:style>
  <w:style w:type="character" w:styleId="Rimandonotaapidipagina">
    <w:name w:val="footnote reference"/>
    <w:rsid w:val="00582DE2"/>
    <w:rPr>
      <w:position w:val="0"/>
      <w:vertAlign w:val="superscript"/>
    </w:rPr>
  </w:style>
  <w:style w:type="paragraph" w:styleId="Sommario1">
    <w:name w:val="toc 1"/>
    <w:basedOn w:val="Normale"/>
    <w:next w:val="Normale"/>
    <w:autoRedefine/>
    <w:rsid w:val="00582DE2"/>
    <w:pPr>
      <w:widowControl w:val="0"/>
      <w:suppressAutoHyphens/>
      <w:autoSpaceDN w:val="0"/>
      <w:spacing w:after="100"/>
      <w:textAlignment w:val="baseline"/>
    </w:pPr>
    <w:rPr>
      <w:rFonts w:ascii="Liberation Serif" w:eastAsia="Arial Unicode MS" w:hAnsi="Liberation Serif" w:cs="Mangal"/>
      <w:kern w:val="3"/>
      <w:szCs w:val="21"/>
      <w:lang w:eastAsia="zh-CN" w:bidi="hi-IN"/>
    </w:rPr>
  </w:style>
  <w:style w:type="paragraph" w:styleId="Sommario2">
    <w:name w:val="toc 2"/>
    <w:basedOn w:val="Normale"/>
    <w:next w:val="Normale"/>
    <w:autoRedefine/>
    <w:rsid w:val="00582DE2"/>
    <w:pPr>
      <w:widowControl w:val="0"/>
      <w:suppressAutoHyphens/>
      <w:autoSpaceDN w:val="0"/>
      <w:spacing w:after="100"/>
      <w:ind w:left="240"/>
      <w:textAlignment w:val="baseline"/>
    </w:pPr>
    <w:rPr>
      <w:rFonts w:ascii="Liberation Serif" w:eastAsia="Arial Unicode MS" w:hAnsi="Liberation Serif" w:cs="Mangal"/>
      <w:kern w:val="3"/>
      <w:szCs w:val="21"/>
      <w:lang w:eastAsia="zh-CN" w:bidi="hi-IN"/>
    </w:rPr>
  </w:style>
  <w:style w:type="paragraph" w:styleId="Testonotaapidipagina">
    <w:name w:val="footnote text"/>
    <w:basedOn w:val="Normale"/>
    <w:link w:val="TestonotaapidipaginaCarattere1"/>
    <w:rsid w:val="00582DE2"/>
    <w:pPr>
      <w:autoSpaceDN w:val="0"/>
    </w:pPr>
    <w:rPr>
      <w:rFonts w:ascii="Liberation Serif" w:eastAsia="Calibri" w:hAnsi="Liberation Serif" w:cs="Mangal"/>
      <w:sz w:val="20"/>
      <w:szCs w:val="20"/>
    </w:rPr>
  </w:style>
  <w:style w:type="character" w:customStyle="1" w:styleId="TestonotaapidipaginaCarattere1">
    <w:name w:val="Testo nota a piè di pagina Carattere1"/>
    <w:link w:val="Testonotaapidipagina"/>
    <w:rsid w:val="00582DE2"/>
    <w:rPr>
      <w:rFonts w:ascii="Liberation Serif" w:eastAsia="Calibri" w:hAnsi="Liberation Serif" w:cs="Mangal"/>
    </w:rPr>
  </w:style>
  <w:style w:type="numbering" w:customStyle="1" w:styleId="WWNum4">
    <w:name w:val="WWNum4"/>
    <w:basedOn w:val="Nessunelenco"/>
    <w:rsid w:val="00582DE2"/>
    <w:pPr>
      <w:numPr>
        <w:numId w:val="3"/>
      </w:numPr>
    </w:pPr>
  </w:style>
  <w:style w:type="numbering" w:customStyle="1" w:styleId="WW8Num111">
    <w:name w:val="WW8Num111"/>
    <w:basedOn w:val="Nessunelenco"/>
    <w:rsid w:val="00582DE2"/>
    <w:pPr>
      <w:numPr>
        <w:numId w:val="4"/>
      </w:numPr>
    </w:pPr>
  </w:style>
  <w:style w:type="numbering" w:customStyle="1" w:styleId="WW8Num142">
    <w:name w:val="WW8Num142"/>
    <w:basedOn w:val="Nessunelenco"/>
    <w:rsid w:val="00582DE2"/>
    <w:pPr>
      <w:numPr>
        <w:numId w:val="5"/>
      </w:numPr>
    </w:pPr>
  </w:style>
  <w:style w:type="numbering" w:customStyle="1" w:styleId="WW8Num51">
    <w:name w:val="WW8Num51"/>
    <w:basedOn w:val="Nessunelenco"/>
    <w:rsid w:val="00582DE2"/>
    <w:pPr>
      <w:numPr>
        <w:numId w:val="6"/>
      </w:numPr>
    </w:pPr>
  </w:style>
  <w:style w:type="numbering" w:customStyle="1" w:styleId="WW8Num61">
    <w:name w:val="WW8Num61"/>
    <w:basedOn w:val="Nessunelenco"/>
    <w:rsid w:val="00582DE2"/>
    <w:pPr>
      <w:numPr>
        <w:numId w:val="7"/>
      </w:numPr>
    </w:pPr>
  </w:style>
  <w:style w:type="numbering" w:customStyle="1" w:styleId="WW8Num131">
    <w:name w:val="WW8Num131"/>
    <w:basedOn w:val="Nessunelenco"/>
    <w:rsid w:val="00582DE2"/>
    <w:pPr>
      <w:numPr>
        <w:numId w:val="8"/>
      </w:numPr>
    </w:pPr>
  </w:style>
  <w:style w:type="numbering" w:customStyle="1" w:styleId="WW8Num71">
    <w:name w:val="WW8Num71"/>
    <w:basedOn w:val="Nessunelenco"/>
    <w:rsid w:val="00582DE2"/>
    <w:pPr>
      <w:numPr>
        <w:numId w:val="9"/>
      </w:numPr>
    </w:pPr>
  </w:style>
  <w:style w:type="numbering" w:customStyle="1" w:styleId="WW8Num101">
    <w:name w:val="WW8Num101"/>
    <w:basedOn w:val="Nessunelenco"/>
    <w:rsid w:val="00582DE2"/>
    <w:pPr>
      <w:numPr>
        <w:numId w:val="10"/>
      </w:numPr>
    </w:pPr>
  </w:style>
  <w:style w:type="numbering" w:customStyle="1" w:styleId="WW8Num31">
    <w:name w:val="WW8Num31"/>
    <w:basedOn w:val="Nessunelenco"/>
    <w:rsid w:val="00582DE2"/>
    <w:pPr>
      <w:numPr>
        <w:numId w:val="11"/>
      </w:numPr>
    </w:pPr>
  </w:style>
  <w:style w:type="numbering" w:customStyle="1" w:styleId="WW8Num161">
    <w:name w:val="WW8Num161"/>
    <w:basedOn w:val="Nessunelenco"/>
    <w:rsid w:val="00582DE2"/>
    <w:pPr>
      <w:numPr>
        <w:numId w:val="12"/>
      </w:numPr>
    </w:pPr>
  </w:style>
  <w:style w:type="numbering" w:customStyle="1" w:styleId="WW8Num141">
    <w:name w:val="WW8Num141"/>
    <w:basedOn w:val="Nessunelenco"/>
    <w:rsid w:val="00582DE2"/>
    <w:pPr>
      <w:numPr>
        <w:numId w:val="13"/>
      </w:numPr>
    </w:pPr>
  </w:style>
  <w:style w:type="numbering" w:customStyle="1" w:styleId="WW8Num1">
    <w:name w:val="WW8Num1"/>
    <w:basedOn w:val="Nessunelenco"/>
    <w:rsid w:val="00582DE2"/>
    <w:pPr>
      <w:numPr>
        <w:numId w:val="14"/>
      </w:numPr>
    </w:pPr>
  </w:style>
  <w:style w:type="numbering" w:customStyle="1" w:styleId="WW8Num2">
    <w:name w:val="WW8Num2"/>
    <w:basedOn w:val="Nessunelenco"/>
    <w:rsid w:val="00582DE2"/>
    <w:pPr>
      <w:numPr>
        <w:numId w:val="15"/>
      </w:numPr>
    </w:pPr>
  </w:style>
  <w:style w:type="numbering" w:customStyle="1" w:styleId="WW8Num3">
    <w:name w:val="WW8Num3"/>
    <w:basedOn w:val="Nessunelenco"/>
    <w:rsid w:val="00582DE2"/>
    <w:pPr>
      <w:numPr>
        <w:numId w:val="16"/>
      </w:numPr>
    </w:pPr>
  </w:style>
  <w:style w:type="numbering" w:customStyle="1" w:styleId="WW8Num4">
    <w:name w:val="WW8Num4"/>
    <w:basedOn w:val="Nessunelenco"/>
    <w:rsid w:val="00582DE2"/>
    <w:pPr>
      <w:numPr>
        <w:numId w:val="17"/>
      </w:numPr>
    </w:pPr>
  </w:style>
  <w:style w:type="numbering" w:customStyle="1" w:styleId="WW8Num5">
    <w:name w:val="WW8Num5"/>
    <w:basedOn w:val="Nessunelenco"/>
    <w:rsid w:val="00582DE2"/>
    <w:pPr>
      <w:numPr>
        <w:numId w:val="18"/>
      </w:numPr>
    </w:pPr>
  </w:style>
  <w:style w:type="numbering" w:customStyle="1" w:styleId="WW8Num6">
    <w:name w:val="WW8Num6"/>
    <w:basedOn w:val="Nessunelenco"/>
    <w:rsid w:val="00582DE2"/>
    <w:pPr>
      <w:numPr>
        <w:numId w:val="19"/>
      </w:numPr>
    </w:pPr>
  </w:style>
  <w:style w:type="numbering" w:customStyle="1" w:styleId="WW8Num7">
    <w:name w:val="WW8Num7"/>
    <w:basedOn w:val="Nessunelenco"/>
    <w:rsid w:val="00582DE2"/>
    <w:pPr>
      <w:numPr>
        <w:numId w:val="20"/>
      </w:numPr>
    </w:pPr>
  </w:style>
  <w:style w:type="numbering" w:customStyle="1" w:styleId="WW8Num8">
    <w:name w:val="WW8Num8"/>
    <w:basedOn w:val="Nessunelenco"/>
    <w:rsid w:val="00582DE2"/>
    <w:pPr>
      <w:numPr>
        <w:numId w:val="21"/>
      </w:numPr>
    </w:pPr>
  </w:style>
  <w:style w:type="numbering" w:customStyle="1" w:styleId="WW8Num9">
    <w:name w:val="WW8Num9"/>
    <w:basedOn w:val="Nessunelenco"/>
    <w:rsid w:val="00582DE2"/>
    <w:pPr>
      <w:numPr>
        <w:numId w:val="22"/>
      </w:numPr>
    </w:pPr>
  </w:style>
  <w:style w:type="numbering" w:customStyle="1" w:styleId="WW8Num10">
    <w:name w:val="WW8Num10"/>
    <w:basedOn w:val="Nessunelenco"/>
    <w:rsid w:val="00582DE2"/>
    <w:pPr>
      <w:numPr>
        <w:numId w:val="23"/>
      </w:numPr>
    </w:pPr>
  </w:style>
  <w:style w:type="numbering" w:customStyle="1" w:styleId="WW8Num11">
    <w:name w:val="WW8Num11"/>
    <w:basedOn w:val="Nessunelenco"/>
    <w:rsid w:val="00582DE2"/>
    <w:pPr>
      <w:numPr>
        <w:numId w:val="24"/>
      </w:numPr>
    </w:pPr>
  </w:style>
  <w:style w:type="numbering" w:customStyle="1" w:styleId="WW8Num12">
    <w:name w:val="WW8Num12"/>
    <w:basedOn w:val="Nessunelenco"/>
    <w:rsid w:val="00582DE2"/>
    <w:pPr>
      <w:numPr>
        <w:numId w:val="25"/>
      </w:numPr>
    </w:pPr>
  </w:style>
  <w:style w:type="numbering" w:customStyle="1" w:styleId="WW8Num13">
    <w:name w:val="WW8Num13"/>
    <w:basedOn w:val="Nessunelenco"/>
    <w:rsid w:val="00582DE2"/>
    <w:pPr>
      <w:numPr>
        <w:numId w:val="26"/>
      </w:numPr>
    </w:pPr>
  </w:style>
  <w:style w:type="numbering" w:customStyle="1" w:styleId="WW8Num14">
    <w:name w:val="WW8Num14"/>
    <w:basedOn w:val="Nessunelenco"/>
    <w:rsid w:val="00582DE2"/>
    <w:pPr>
      <w:numPr>
        <w:numId w:val="27"/>
      </w:numPr>
    </w:pPr>
  </w:style>
  <w:style w:type="numbering" w:customStyle="1" w:styleId="WW8Num15">
    <w:name w:val="WW8Num15"/>
    <w:basedOn w:val="Nessunelenco"/>
    <w:rsid w:val="00582DE2"/>
    <w:pPr>
      <w:numPr>
        <w:numId w:val="28"/>
      </w:numPr>
    </w:pPr>
  </w:style>
  <w:style w:type="numbering" w:customStyle="1" w:styleId="WW8Num16">
    <w:name w:val="WW8Num16"/>
    <w:basedOn w:val="Nessunelenco"/>
    <w:rsid w:val="00582DE2"/>
    <w:pPr>
      <w:numPr>
        <w:numId w:val="29"/>
      </w:numPr>
    </w:pPr>
  </w:style>
  <w:style w:type="paragraph" w:customStyle="1" w:styleId="Standarduser">
    <w:name w:val="Standard (user)"/>
    <w:rsid w:val="0022777B"/>
    <w:pPr>
      <w:suppressAutoHyphens/>
      <w:autoSpaceDN w:val="0"/>
      <w:spacing w:after="200" w:line="276" w:lineRule="auto"/>
    </w:pPr>
    <w:rPr>
      <w:rFonts w:ascii="Calibri" w:eastAsia="Calibri" w:hAnsi="Calibri" w:cs="Calibri"/>
      <w:kern w:val="3"/>
      <w:sz w:val="22"/>
      <w:szCs w:val="22"/>
      <w:lang w:eastAsia="zh-CN"/>
    </w:rPr>
  </w:style>
  <w:style w:type="numbering" w:customStyle="1" w:styleId="WWNum28">
    <w:name w:val="WWNum28"/>
    <w:rsid w:val="00FA7ADE"/>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711152">
      <w:bodyDiv w:val="1"/>
      <w:marLeft w:val="0"/>
      <w:marRight w:val="0"/>
      <w:marTop w:val="0"/>
      <w:marBottom w:val="0"/>
      <w:divBdr>
        <w:top w:val="none" w:sz="0" w:space="0" w:color="auto"/>
        <w:left w:val="none" w:sz="0" w:space="0" w:color="auto"/>
        <w:bottom w:val="none" w:sz="0" w:space="0" w:color="auto"/>
        <w:right w:val="none" w:sz="0" w:space="0" w:color="auto"/>
      </w:divBdr>
    </w:div>
    <w:div w:id="1421102296">
      <w:bodyDiv w:val="1"/>
      <w:marLeft w:val="0"/>
      <w:marRight w:val="0"/>
      <w:marTop w:val="0"/>
      <w:marBottom w:val="0"/>
      <w:divBdr>
        <w:top w:val="none" w:sz="0" w:space="0" w:color="auto"/>
        <w:left w:val="none" w:sz="0" w:space="0" w:color="auto"/>
        <w:bottom w:val="none" w:sz="0" w:space="0" w:color="auto"/>
        <w:right w:val="none" w:sz="0" w:space="0" w:color="auto"/>
      </w:divBdr>
    </w:div>
    <w:div w:id="1431703717">
      <w:bodyDiv w:val="1"/>
      <w:marLeft w:val="0"/>
      <w:marRight w:val="0"/>
      <w:marTop w:val="0"/>
      <w:marBottom w:val="0"/>
      <w:divBdr>
        <w:top w:val="none" w:sz="0" w:space="0" w:color="auto"/>
        <w:left w:val="none" w:sz="0" w:space="0" w:color="auto"/>
        <w:bottom w:val="none" w:sz="0" w:space="0" w:color="auto"/>
        <w:right w:val="none" w:sz="0" w:space="0" w:color="auto"/>
      </w:divBdr>
    </w:div>
    <w:div w:id="206317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A2A03-C7AC-4173-A88A-699F4FAEC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17210</Words>
  <Characters>98101</Characters>
  <Application>Microsoft Office Word</Application>
  <DocSecurity>0</DocSecurity>
  <Lines>817</Lines>
  <Paragraphs>230</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115081</CharactersWithSpaces>
  <SharedDoc>false</SharedDoc>
  <HLinks>
    <vt:vector size="210" baseType="variant">
      <vt:variant>
        <vt:i4>4325395</vt:i4>
      </vt:variant>
      <vt:variant>
        <vt:i4>107</vt:i4>
      </vt:variant>
      <vt:variant>
        <vt:i4>0</vt:i4>
      </vt:variant>
      <vt:variant>
        <vt:i4>5</vt:i4>
      </vt:variant>
      <vt:variant>
        <vt:lpwstr/>
      </vt:variant>
      <vt:variant>
        <vt:lpwstr>__RefHeading___Toc1996_761212699</vt:lpwstr>
      </vt:variant>
      <vt:variant>
        <vt:i4>4325394</vt:i4>
      </vt:variant>
      <vt:variant>
        <vt:i4>104</vt:i4>
      </vt:variant>
      <vt:variant>
        <vt:i4>0</vt:i4>
      </vt:variant>
      <vt:variant>
        <vt:i4>5</vt:i4>
      </vt:variant>
      <vt:variant>
        <vt:lpwstr/>
      </vt:variant>
      <vt:variant>
        <vt:lpwstr>__RefHeading___Toc1986_761212699</vt:lpwstr>
      </vt:variant>
      <vt:variant>
        <vt:i4>4194322</vt:i4>
      </vt:variant>
      <vt:variant>
        <vt:i4>101</vt:i4>
      </vt:variant>
      <vt:variant>
        <vt:i4>0</vt:i4>
      </vt:variant>
      <vt:variant>
        <vt:i4>5</vt:i4>
      </vt:variant>
      <vt:variant>
        <vt:lpwstr/>
      </vt:variant>
      <vt:variant>
        <vt:lpwstr>__RefHeading___Toc1984_761212699</vt:lpwstr>
      </vt:variant>
      <vt:variant>
        <vt:i4>4194322</vt:i4>
      </vt:variant>
      <vt:variant>
        <vt:i4>98</vt:i4>
      </vt:variant>
      <vt:variant>
        <vt:i4>0</vt:i4>
      </vt:variant>
      <vt:variant>
        <vt:i4>5</vt:i4>
      </vt:variant>
      <vt:variant>
        <vt:lpwstr/>
      </vt:variant>
      <vt:variant>
        <vt:lpwstr>__RefHeading___Toc1984_761212699</vt:lpwstr>
      </vt:variant>
      <vt:variant>
        <vt:i4>4194322</vt:i4>
      </vt:variant>
      <vt:variant>
        <vt:i4>95</vt:i4>
      </vt:variant>
      <vt:variant>
        <vt:i4>0</vt:i4>
      </vt:variant>
      <vt:variant>
        <vt:i4>5</vt:i4>
      </vt:variant>
      <vt:variant>
        <vt:lpwstr/>
      </vt:variant>
      <vt:variant>
        <vt:lpwstr>__RefHeading___Toc1984_761212699</vt:lpwstr>
      </vt:variant>
      <vt:variant>
        <vt:i4>4194322</vt:i4>
      </vt:variant>
      <vt:variant>
        <vt:i4>92</vt:i4>
      </vt:variant>
      <vt:variant>
        <vt:i4>0</vt:i4>
      </vt:variant>
      <vt:variant>
        <vt:i4>5</vt:i4>
      </vt:variant>
      <vt:variant>
        <vt:lpwstr/>
      </vt:variant>
      <vt:variant>
        <vt:lpwstr>__RefHeading___Toc1984_761212699</vt:lpwstr>
      </vt:variant>
      <vt:variant>
        <vt:i4>4194322</vt:i4>
      </vt:variant>
      <vt:variant>
        <vt:i4>89</vt:i4>
      </vt:variant>
      <vt:variant>
        <vt:i4>0</vt:i4>
      </vt:variant>
      <vt:variant>
        <vt:i4>5</vt:i4>
      </vt:variant>
      <vt:variant>
        <vt:lpwstr/>
      </vt:variant>
      <vt:variant>
        <vt:lpwstr>__RefHeading___Toc1984_761212699</vt:lpwstr>
      </vt:variant>
      <vt:variant>
        <vt:i4>4194322</vt:i4>
      </vt:variant>
      <vt:variant>
        <vt:i4>86</vt:i4>
      </vt:variant>
      <vt:variant>
        <vt:i4>0</vt:i4>
      </vt:variant>
      <vt:variant>
        <vt:i4>5</vt:i4>
      </vt:variant>
      <vt:variant>
        <vt:lpwstr/>
      </vt:variant>
      <vt:variant>
        <vt:lpwstr>__RefHeading___Toc1984_761212699</vt:lpwstr>
      </vt:variant>
      <vt:variant>
        <vt:i4>4194322</vt:i4>
      </vt:variant>
      <vt:variant>
        <vt:i4>83</vt:i4>
      </vt:variant>
      <vt:variant>
        <vt:i4>0</vt:i4>
      </vt:variant>
      <vt:variant>
        <vt:i4>5</vt:i4>
      </vt:variant>
      <vt:variant>
        <vt:lpwstr/>
      </vt:variant>
      <vt:variant>
        <vt:lpwstr>__RefHeading___Toc1984_761212699</vt:lpwstr>
      </vt:variant>
      <vt:variant>
        <vt:i4>4587538</vt:i4>
      </vt:variant>
      <vt:variant>
        <vt:i4>80</vt:i4>
      </vt:variant>
      <vt:variant>
        <vt:i4>0</vt:i4>
      </vt:variant>
      <vt:variant>
        <vt:i4>5</vt:i4>
      </vt:variant>
      <vt:variant>
        <vt:lpwstr/>
      </vt:variant>
      <vt:variant>
        <vt:lpwstr>__RefHeading___Toc1982_761212699</vt:lpwstr>
      </vt:variant>
      <vt:variant>
        <vt:i4>4456466</vt:i4>
      </vt:variant>
      <vt:variant>
        <vt:i4>77</vt:i4>
      </vt:variant>
      <vt:variant>
        <vt:i4>0</vt:i4>
      </vt:variant>
      <vt:variant>
        <vt:i4>5</vt:i4>
      </vt:variant>
      <vt:variant>
        <vt:lpwstr/>
      </vt:variant>
      <vt:variant>
        <vt:lpwstr>__RefHeading___Toc1980_761212699</vt:lpwstr>
      </vt:variant>
      <vt:variant>
        <vt:i4>4980765</vt:i4>
      </vt:variant>
      <vt:variant>
        <vt:i4>74</vt:i4>
      </vt:variant>
      <vt:variant>
        <vt:i4>0</vt:i4>
      </vt:variant>
      <vt:variant>
        <vt:i4>5</vt:i4>
      </vt:variant>
      <vt:variant>
        <vt:lpwstr/>
      </vt:variant>
      <vt:variant>
        <vt:lpwstr>__RefHeading___Toc1978_761212699</vt:lpwstr>
      </vt:variant>
      <vt:variant>
        <vt:i4>4325405</vt:i4>
      </vt:variant>
      <vt:variant>
        <vt:i4>71</vt:i4>
      </vt:variant>
      <vt:variant>
        <vt:i4>0</vt:i4>
      </vt:variant>
      <vt:variant>
        <vt:i4>5</vt:i4>
      </vt:variant>
      <vt:variant>
        <vt:lpwstr/>
      </vt:variant>
      <vt:variant>
        <vt:lpwstr>__RefHeading___Toc1976_761212699</vt:lpwstr>
      </vt:variant>
      <vt:variant>
        <vt:i4>4194333</vt:i4>
      </vt:variant>
      <vt:variant>
        <vt:i4>68</vt:i4>
      </vt:variant>
      <vt:variant>
        <vt:i4>0</vt:i4>
      </vt:variant>
      <vt:variant>
        <vt:i4>5</vt:i4>
      </vt:variant>
      <vt:variant>
        <vt:lpwstr/>
      </vt:variant>
      <vt:variant>
        <vt:lpwstr>__RefHeading___Toc1974_761212699</vt:lpwstr>
      </vt:variant>
      <vt:variant>
        <vt:i4>4587549</vt:i4>
      </vt:variant>
      <vt:variant>
        <vt:i4>65</vt:i4>
      </vt:variant>
      <vt:variant>
        <vt:i4>0</vt:i4>
      </vt:variant>
      <vt:variant>
        <vt:i4>5</vt:i4>
      </vt:variant>
      <vt:variant>
        <vt:lpwstr/>
      </vt:variant>
      <vt:variant>
        <vt:lpwstr>__RefHeading___Toc1972_761212699</vt:lpwstr>
      </vt:variant>
      <vt:variant>
        <vt:i4>4456477</vt:i4>
      </vt:variant>
      <vt:variant>
        <vt:i4>62</vt:i4>
      </vt:variant>
      <vt:variant>
        <vt:i4>0</vt:i4>
      </vt:variant>
      <vt:variant>
        <vt:i4>5</vt:i4>
      </vt:variant>
      <vt:variant>
        <vt:lpwstr/>
      </vt:variant>
      <vt:variant>
        <vt:lpwstr>__RefHeading___Toc1970_761212699</vt:lpwstr>
      </vt:variant>
      <vt:variant>
        <vt:i4>4980764</vt:i4>
      </vt:variant>
      <vt:variant>
        <vt:i4>59</vt:i4>
      </vt:variant>
      <vt:variant>
        <vt:i4>0</vt:i4>
      </vt:variant>
      <vt:variant>
        <vt:i4>5</vt:i4>
      </vt:variant>
      <vt:variant>
        <vt:lpwstr/>
      </vt:variant>
      <vt:variant>
        <vt:lpwstr>__RefHeading___Toc1968_761212699</vt:lpwstr>
      </vt:variant>
      <vt:variant>
        <vt:i4>4194335</vt:i4>
      </vt:variant>
      <vt:variant>
        <vt:i4>56</vt:i4>
      </vt:variant>
      <vt:variant>
        <vt:i4>0</vt:i4>
      </vt:variant>
      <vt:variant>
        <vt:i4>5</vt:i4>
      </vt:variant>
      <vt:variant>
        <vt:lpwstr/>
      </vt:variant>
      <vt:variant>
        <vt:lpwstr>__RefHeading___Toc1954_761212699</vt:lpwstr>
      </vt:variant>
      <vt:variant>
        <vt:i4>4194334</vt:i4>
      </vt:variant>
      <vt:variant>
        <vt:i4>53</vt:i4>
      </vt:variant>
      <vt:variant>
        <vt:i4>0</vt:i4>
      </vt:variant>
      <vt:variant>
        <vt:i4>5</vt:i4>
      </vt:variant>
      <vt:variant>
        <vt:lpwstr/>
      </vt:variant>
      <vt:variant>
        <vt:lpwstr>__RefHeading___Toc1944_761212699</vt:lpwstr>
      </vt:variant>
      <vt:variant>
        <vt:i4>4194334</vt:i4>
      </vt:variant>
      <vt:variant>
        <vt:i4>50</vt:i4>
      </vt:variant>
      <vt:variant>
        <vt:i4>0</vt:i4>
      </vt:variant>
      <vt:variant>
        <vt:i4>5</vt:i4>
      </vt:variant>
      <vt:variant>
        <vt:lpwstr/>
      </vt:variant>
      <vt:variant>
        <vt:lpwstr>__RefHeading___Toc1944_761212699</vt:lpwstr>
      </vt:variant>
      <vt:variant>
        <vt:i4>4587551</vt:i4>
      </vt:variant>
      <vt:variant>
        <vt:i4>47</vt:i4>
      </vt:variant>
      <vt:variant>
        <vt:i4>0</vt:i4>
      </vt:variant>
      <vt:variant>
        <vt:i4>5</vt:i4>
      </vt:variant>
      <vt:variant>
        <vt:lpwstr/>
      </vt:variant>
      <vt:variant>
        <vt:lpwstr>__RefHeading___Toc1952_761212699</vt:lpwstr>
      </vt:variant>
      <vt:variant>
        <vt:i4>4194334</vt:i4>
      </vt:variant>
      <vt:variant>
        <vt:i4>44</vt:i4>
      </vt:variant>
      <vt:variant>
        <vt:i4>0</vt:i4>
      </vt:variant>
      <vt:variant>
        <vt:i4>5</vt:i4>
      </vt:variant>
      <vt:variant>
        <vt:lpwstr/>
      </vt:variant>
      <vt:variant>
        <vt:lpwstr>__RefHeading___Toc1944_761212699</vt:lpwstr>
      </vt:variant>
      <vt:variant>
        <vt:i4>4194334</vt:i4>
      </vt:variant>
      <vt:variant>
        <vt:i4>41</vt:i4>
      </vt:variant>
      <vt:variant>
        <vt:i4>0</vt:i4>
      </vt:variant>
      <vt:variant>
        <vt:i4>5</vt:i4>
      </vt:variant>
      <vt:variant>
        <vt:lpwstr/>
      </vt:variant>
      <vt:variant>
        <vt:lpwstr>__RefHeading___Toc1944_761212699</vt:lpwstr>
      </vt:variant>
      <vt:variant>
        <vt:i4>4456479</vt:i4>
      </vt:variant>
      <vt:variant>
        <vt:i4>38</vt:i4>
      </vt:variant>
      <vt:variant>
        <vt:i4>0</vt:i4>
      </vt:variant>
      <vt:variant>
        <vt:i4>5</vt:i4>
      </vt:variant>
      <vt:variant>
        <vt:lpwstr/>
      </vt:variant>
      <vt:variant>
        <vt:lpwstr>__RefHeading___Toc1950_761212699</vt:lpwstr>
      </vt:variant>
      <vt:variant>
        <vt:i4>4980766</vt:i4>
      </vt:variant>
      <vt:variant>
        <vt:i4>35</vt:i4>
      </vt:variant>
      <vt:variant>
        <vt:i4>0</vt:i4>
      </vt:variant>
      <vt:variant>
        <vt:i4>5</vt:i4>
      </vt:variant>
      <vt:variant>
        <vt:lpwstr/>
      </vt:variant>
      <vt:variant>
        <vt:lpwstr>__RefHeading___Toc1948_761212699</vt:lpwstr>
      </vt:variant>
      <vt:variant>
        <vt:i4>4980766</vt:i4>
      </vt:variant>
      <vt:variant>
        <vt:i4>32</vt:i4>
      </vt:variant>
      <vt:variant>
        <vt:i4>0</vt:i4>
      </vt:variant>
      <vt:variant>
        <vt:i4>5</vt:i4>
      </vt:variant>
      <vt:variant>
        <vt:lpwstr/>
      </vt:variant>
      <vt:variant>
        <vt:lpwstr>__RefHeading___Toc1948_761212699</vt:lpwstr>
      </vt:variant>
      <vt:variant>
        <vt:i4>4194334</vt:i4>
      </vt:variant>
      <vt:variant>
        <vt:i4>29</vt:i4>
      </vt:variant>
      <vt:variant>
        <vt:i4>0</vt:i4>
      </vt:variant>
      <vt:variant>
        <vt:i4>5</vt:i4>
      </vt:variant>
      <vt:variant>
        <vt:lpwstr/>
      </vt:variant>
      <vt:variant>
        <vt:lpwstr>__RefHeading___Toc1944_761212699</vt:lpwstr>
      </vt:variant>
      <vt:variant>
        <vt:i4>4194334</vt:i4>
      </vt:variant>
      <vt:variant>
        <vt:i4>26</vt:i4>
      </vt:variant>
      <vt:variant>
        <vt:i4>0</vt:i4>
      </vt:variant>
      <vt:variant>
        <vt:i4>5</vt:i4>
      </vt:variant>
      <vt:variant>
        <vt:lpwstr/>
      </vt:variant>
      <vt:variant>
        <vt:lpwstr>__RefHeading___Toc1944_761212699</vt:lpwstr>
      </vt:variant>
      <vt:variant>
        <vt:i4>4194334</vt:i4>
      </vt:variant>
      <vt:variant>
        <vt:i4>23</vt:i4>
      </vt:variant>
      <vt:variant>
        <vt:i4>0</vt:i4>
      </vt:variant>
      <vt:variant>
        <vt:i4>5</vt:i4>
      </vt:variant>
      <vt:variant>
        <vt:lpwstr/>
      </vt:variant>
      <vt:variant>
        <vt:lpwstr>__RefHeading___Toc1944_761212699</vt:lpwstr>
      </vt:variant>
      <vt:variant>
        <vt:i4>4194334</vt:i4>
      </vt:variant>
      <vt:variant>
        <vt:i4>20</vt:i4>
      </vt:variant>
      <vt:variant>
        <vt:i4>0</vt:i4>
      </vt:variant>
      <vt:variant>
        <vt:i4>5</vt:i4>
      </vt:variant>
      <vt:variant>
        <vt:lpwstr/>
      </vt:variant>
      <vt:variant>
        <vt:lpwstr>__RefHeading___Toc1944_761212699</vt:lpwstr>
      </vt:variant>
      <vt:variant>
        <vt:i4>4194334</vt:i4>
      </vt:variant>
      <vt:variant>
        <vt:i4>17</vt:i4>
      </vt:variant>
      <vt:variant>
        <vt:i4>0</vt:i4>
      </vt:variant>
      <vt:variant>
        <vt:i4>5</vt:i4>
      </vt:variant>
      <vt:variant>
        <vt:lpwstr/>
      </vt:variant>
      <vt:variant>
        <vt:lpwstr>__RefHeading___Toc1944_761212699</vt:lpwstr>
      </vt:variant>
      <vt:variant>
        <vt:i4>4194334</vt:i4>
      </vt:variant>
      <vt:variant>
        <vt:i4>14</vt:i4>
      </vt:variant>
      <vt:variant>
        <vt:i4>0</vt:i4>
      </vt:variant>
      <vt:variant>
        <vt:i4>5</vt:i4>
      </vt:variant>
      <vt:variant>
        <vt:lpwstr/>
      </vt:variant>
      <vt:variant>
        <vt:lpwstr>__RefHeading___Toc1944_761212699</vt:lpwstr>
      </vt:variant>
      <vt:variant>
        <vt:i4>4587550</vt:i4>
      </vt:variant>
      <vt:variant>
        <vt:i4>11</vt:i4>
      </vt:variant>
      <vt:variant>
        <vt:i4>0</vt:i4>
      </vt:variant>
      <vt:variant>
        <vt:i4>5</vt:i4>
      </vt:variant>
      <vt:variant>
        <vt:lpwstr/>
      </vt:variant>
      <vt:variant>
        <vt:lpwstr>__RefHeading___Toc1942_761212699</vt:lpwstr>
      </vt:variant>
      <vt:variant>
        <vt:i4>4456478</vt:i4>
      </vt:variant>
      <vt:variant>
        <vt:i4>8</vt:i4>
      </vt:variant>
      <vt:variant>
        <vt:i4>0</vt:i4>
      </vt:variant>
      <vt:variant>
        <vt:i4>5</vt:i4>
      </vt:variant>
      <vt:variant>
        <vt:lpwstr/>
      </vt:variant>
      <vt:variant>
        <vt:lpwstr>__RefHeading___Toc1940_761212699</vt:lpwstr>
      </vt:variant>
      <vt:variant>
        <vt:i4>4980761</vt:i4>
      </vt:variant>
      <vt:variant>
        <vt:i4>5</vt:i4>
      </vt:variant>
      <vt:variant>
        <vt:i4>0</vt:i4>
      </vt:variant>
      <vt:variant>
        <vt:i4>5</vt:i4>
      </vt:variant>
      <vt:variant>
        <vt:lpwstr/>
      </vt:variant>
      <vt:variant>
        <vt:lpwstr>__RefHeading___Toc1938_761212699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Comune di Telve di Sopra</dc:creator>
  <cp:keywords/>
  <cp:lastModifiedBy>Patrizia Sala</cp:lastModifiedBy>
  <cp:revision>3</cp:revision>
  <cp:lastPrinted>2022-05-03T11:52:00Z</cp:lastPrinted>
  <dcterms:created xsi:type="dcterms:W3CDTF">2022-05-11T06:21:00Z</dcterms:created>
  <dcterms:modified xsi:type="dcterms:W3CDTF">2022-05-11T06:21:00Z</dcterms:modified>
</cp:coreProperties>
</file>